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outlineLvl w:val="0"/>
        <w:rPr>
          <w:rFonts w:ascii="仿宋_GB2312" w:eastAsia="仿宋_GB2312"/>
          <w:b/>
          <w:sz w:val="24"/>
          <w:szCs w:val="24"/>
        </w:rPr>
      </w:pPr>
      <w:r>
        <w:rPr>
          <w:rFonts w:hint="eastAsia" w:ascii="仿宋_GB2312" w:eastAsia="仿宋_GB2312"/>
          <w:b/>
          <w:sz w:val="24"/>
          <w:szCs w:val="24"/>
        </w:rPr>
        <w:t>“双有”企业环境信息公开表</w:t>
      </w:r>
    </w:p>
    <w:tbl>
      <w:tblPr>
        <w:tblStyle w:val="6"/>
        <w:tblW w:w="964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3260"/>
        <w:gridCol w:w="142"/>
        <w:gridCol w:w="1985"/>
        <w:gridCol w:w="567"/>
        <w:gridCol w:w="19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2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企业</w:t>
            </w:r>
            <w:r>
              <w:rPr>
                <w:rFonts w:ascii="宋体" w:hAnsi="宋体"/>
                <w:szCs w:val="21"/>
              </w:rPr>
              <w:t>名称</w:t>
            </w:r>
          </w:p>
        </w:tc>
        <w:tc>
          <w:tcPr>
            <w:tcW w:w="7938" w:type="dxa"/>
            <w:gridSpan w:val="5"/>
            <w:vAlign w:val="center"/>
          </w:tcPr>
          <w:p>
            <w:pPr>
              <w:spacing w:line="6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张家港联合铜业有限公司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2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社会信用代码</w:t>
            </w:r>
          </w:p>
        </w:tc>
        <w:tc>
          <w:tcPr>
            <w:tcW w:w="3260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</w:rPr>
              <w:t>913205826082600890</w:t>
            </w:r>
          </w:p>
        </w:tc>
        <w:tc>
          <w:tcPr>
            <w:tcW w:w="2127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法定代表人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王浩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5" w:hRule="atLeast"/>
          <w:jc w:val="center"/>
        </w:trPr>
        <w:tc>
          <w:tcPr>
            <w:tcW w:w="1702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生产地址</w:t>
            </w:r>
          </w:p>
        </w:tc>
        <w:tc>
          <w:tcPr>
            <w:tcW w:w="7938" w:type="dxa"/>
            <w:gridSpan w:val="5"/>
            <w:vAlign w:val="center"/>
          </w:tcPr>
          <w:p>
            <w:pPr>
              <w:spacing w:line="6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张家港市锦丰镇三兴五棵松路2202号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702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所属行业</w:t>
            </w:r>
          </w:p>
        </w:tc>
        <w:tc>
          <w:tcPr>
            <w:tcW w:w="3260" w:type="dxa"/>
            <w:vAlign w:val="center"/>
          </w:tcPr>
          <w:p>
            <w:pPr>
              <w:widowControl/>
              <w:jc w:val="left"/>
              <w:rPr>
                <w:rFonts w:hAnsi="宋体"/>
                <w:szCs w:val="21"/>
              </w:rPr>
            </w:pPr>
            <w:r>
              <w:rPr>
                <w:rFonts w:hAnsi="宋体"/>
                <w:szCs w:val="21"/>
              </w:rPr>
              <w:t>C3</w:t>
            </w:r>
            <w:r>
              <w:rPr>
                <w:rFonts w:hint="eastAsia" w:hAnsi="宋体"/>
                <w:szCs w:val="21"/>
                <w:lang w:val="en-US" w:eastAsia="zh-CN"/>
              </w:rPr>
              <w:t>211铜冶炼</w:t>
            </w:r>
            <w:r>
              <w:rPr>
                <w:rFonts w:hAnsi="宋体"/>
                <w:szCs w:val="21"/>
              </w:rPr>
              <w:t xml:space="preserve"> </w:t>
            </w:r>
          </w:p>
        </w:tc>
        <w:tc>
          <w:tcPr>
            <w:tcW w:w="2127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联系</w:t>
            </w:r>
            <w:r>
              <w:rPr>
                <w:rFonts w:hint="eastAsia" w:ascii="宋体" w:hAnsi="宋体"/>
                <w:szCs w:val="21"/>
              </w:rPr>
              <w:t>人及</w:t>
            </w:r>
            <w:r>
              <w:rPr>
                <w:rFonts w:ascii="宋体" w:hAnsi="宋体"/>
                <w:szCs w:val="21"/>
              </w:rPr>
              <w:t>电话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spacing w:line="620" w:lineRule="exact"/>
              <w:jc w:val="both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张文杰（0512）58533126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5" w:hRule="atLeast"/>
          <w:jc w:val="center"/>
        </w:trPr>
        <w:tc>
          <w:tcPr>
            <w:tcW w:w="1702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生产经营和管理服务的主要内容</w:t>
            </w:r>
          </w:p>
        </w:tc>
        <w:tc>
          <w:tcPr>
            <w:tcW w:w="7938" w:type="dxa"/>
            <w:gridSpan w:val="5"/>
            <w:vAlign w:val="center"/>
          </w:tcPr>
          <w:p>
            <w:pPr>
              <w:adjustRightInd w:val="0"/>
              <w:snapToGrid w:val="0"/>
              <w:spacing w:line="480" w:lineRule="exact"/>
              <w:ind w:firstLine="480"/>
              <w:rPr>
                <w:rFonts w:hint="eastAsia" w:hAnsi="宋体" w:eastAsia="宋体"/>
                <w:vertAlign w:val="baseline"/>
                <w:lang w:eastAsia="zh-CN"/>
              </w:rPr>
            </w:pPr>
            <w:r>
              <w:rPr>
                <w:rFonts w:hint="eastAsia" w:hAnsi="宋体"/>
              </w:rPr>
              <w:t>公司主要从事</w:t>
            </w:r>
            <w:r>
              <w:rPr>
                <w:rFonts w:hint="eastAsia" w:hAnsi="宋体"/>
                <w:lang w:val="en-US" w:eastAsia="zh-CN"/>
              </w:rPr>
              <w:t>电解铜、阳极泥、黑铜及深加工的生产、销售及技术开发、技术交流、技术推广、技术转让，</w:t>
            </w:r>
            <w:r>
              <w:rPr>
                <w:rFonts w:hint="eastAsia" w:hAnsi="宋体"/>
              </w:rPr>
              <w:t>厂区占地面积</w:t>
            </w:r>
            <w:r>
              <w:rPr>
                <w:rFonts w:hint="eastAsia" w:hAnsi="宋体"/>
                <w:lang w:val="en-US" w:eastAsia="zh-CN"/>
              </w:rPr>
              <w:t>200000</w:t>
            </w:r>
            <w:r>
              <w:rPr>
                <w:rFonts w:hint="eastAsia" w:hAnsi="宋体"/>
              </w:rPr>
              <w:t>m</w:t>
            </w:r>
            <w:r>
              <w:rPr>
                <w:rFonts w:hint="eastAsia" w:hAnsi="宋体"/>
                <w:vertAlign w:val="superscript"/>
              </w:rPr>
              <w:t>2</w:t>
            </w:r>
            <w:r>
              <w:rPr>
                <w:rFonts w:hint="eastAsia" w:hAnsi="宋体"/>
                <w:vertAlign w:val="baseline"/>
                <w:lang w:eastAsia="zh-CN"/>
              </w:rPr>
              <w:t>。</w:t>
            </w:r>
          </w:p>
          <w:p>
            <w:pPr>
              <w:adjustRightInd w:val="0"/>
              <w:snapToGrid w:val="0"/>
              <w:spacing w:line="480" w:lineRule="exact"/>
              <w:ind w:firstLine="480"/>
              <w:rPr>
                <w:rFonts w:hAnsi="宋体"/>
              </w:rPr>
            </w:pPr>
            <w:r>
              <w:rPr>
                <w:rFonts w:hAnsi="宋体"/>
              </w:rPr>
              <w:t>职工人数</w:t>
            </w:r>
            <w:r>
              <w:rPr>
                <w:rFonts w:hint="eastAsia" w:hAnsi="宋体"/>
              </w:rPr>
              <w:t>、</w:t>
            </w:r>
            <w:r>
              <w:rPr>
                <w:rFonts w:hAnsi="宋体"/>
              </w:rPr>
              <w:t>工作制度</w:t>
            </w:r>
            <w:r>
              <w:rPr>
                <w:rFonts w:hint="eastAsia" w:hAnsi="宋体"/>
              </w:rPr>
              <w:t>：</w:t>
            </w:r>
            <w:r>
              <w:rPr>
                <w:rFonts w:hAnsi="宋体"/>
              </w:rPr>
              <w:t>企业现有职工</w:t>
            </w:r>
            <w:r>
              <w:rPr>
                <w:rFonts w:hint="eastAsia" w:hAnsi="宋体"/>
                <w:lang w:val="en-US" w:eastAsia="zh-CN"/>
              </w:rPr>
              <w:t>600</w:t>
            </w:r>
            <w:r>
              <w:rPr>
                <w:rFonts w:hAnsi="宋体"/>
              </w:rPr>
              <w:t>人</w:t>
            </w:r>
            <w:r>
              <w:rPr>
                <w:rFonts w:hint="eastAsia" w:hAnsi="宋体"/>
              </w:rPr>
              <w:t>，</w:t>
            </w:r>
            <w:r>
              <w:rPr>
                <w:rFonts w:hAnsi="宋体"/>
              </w:rPr>
              <w:t>年工作</w:t>
            </w:r>
            <w:r>
              <w:rPr>
                <w:rFonts w:hint="eastAsia" w:hAnsi="宋体"/>
              </w:rPr>
              <w:t>3</w:t>
            </w:r>
            <w:r>
              <w:rPr>
                <w:rFonts w:hint="eastAsia" w:hAnsi="宋体"/>
                <w:lang w:val="en-US" w:eastAsia="zh-CN"/>
              </w:rPr>
              <w:t>00</w:t>
            </w:r>
            <w:r>
              <w:rPr>
                <w:rFonts w:hAnsi="宋体"/>
              </w:rPr>
              <w:t>天</w:t>
            </w:r>
            <w:r>
              <w:rPr>
                <w:rFonts w:hint="eastAsia" w:hAnsi="宋体"/>
              </w:rPr>
              <w:t>，三班三</w:t>
            </w:r>
            <w:r>
              <w:rPr>
                <w:rFonts w:hAnsi="宋体"/>
              </w:rPr>
              <w:t>运转</w:t>
            </w:r>
            <w:r>
              <w:rPr>
                <w:rFonts w:hint="eastAsia" w:hAnsi="宋体"/>
              </w:rPr>
              <w:t>，年工作时数为7200</w:t>
            </w:r>
            <w:r>
              <w:rPr>
                <w:rFonts w:hAnsi="宋体"/>
              </w:rPr>
              <w:t>小时</w:t>
            </w:r>
            <w:r>
              <w:rPr>
                <w:rFonts w:hint="eastAsia" w:hAnsi="宋体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702" w:type="dxa"/>
            <w:vMerge w:val="restart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排放</w:t>
            </w:r>
            <w:r>
              <w:rPr>
                <w:rFonts w:ascii="宋体" w:hAnsi="宋体"/>
                <w:szCs w:val="21"/>
              </w:rPr>
              <w:t>有毒有害物质的情况</w:t>
            </w:r>
          </w:p>
        </w:tc>
        <w:tc>
          <w:tcPr>
            <w:tcW w:w="3402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名称</w:t>
            </w:r>
          </w:p>
        </w:tc>
        <w:tc>
          <w:tcPr>
            <w:tcW w:w="2552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排放量</w:t>
            </w:r>
          </w:p>
        </w:tc>
        <w:tc>
          <w:tcPr>
            <w:tcW w:w="1984" w:type="dxa"/>
            <w:vAlign w:val="center"/>
          </w:tcPr>
          <w:p>
            <w:pPr>
              <w:spacing w:line="6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排放浓度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702" w:type="dxa"/>
            <w:vMerge w:val="continue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颗粒物</w:t>
            </w:r>
          </w:p>
        </w:tc>
        <w:tc>
          <w:tcPr>
            <w:tcW w:w="2552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0.78吨</w:t>
            </w:r>
          </w:p>
        </w:tc>
        <w:tc>
          <w:tcPr>
            <w:tcW w:w="1984" w:type="dxa"/>
            <w:vAlign w:val="center"/>
          </w:tcPr>
          <w:p>
            <w:pPr>
              <w:spacing w:line="6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1.36mg/m</w:t>
            </w:r>
            <w:r>
              <w:rPr>
                <w:rFonts w:hint="eastAsia" w:ascii="宋体" w:hAnsi="宋体"/>
                <w:szCs w:val="21"/>
                <w:vertAlign w:val="superscript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702" w:type="dxa"/>
            <w:vMerge w:val="continue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hint="default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二氧化硫</w:t>
            </w:r>
          </w:p>
        </w:tc>
        <w:tc>
          <w:tcPr>
            <w:tcW w:w="2552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3.43吨</w:t>
            </w:r>
          </w:p>
        </w:tc>
        <w:tc>
          <w:tcPr>
            <w:tcW w:w="1984" w:type="dxa"/>
            <w:vAlign w:val="center"/>
          </w:tcPr>
          <w:p>
            <w:pPr>
              <w:spacing w:line="6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5.96mg/m</w:t>
            </w:r>
            <w:r>
              <w:rPr>
                <w:rFonts w:hint="eastAsia" w:ascii="宋体" w:hAnsi="宋体"/>
                <w:szCs w:val="21"/>
                <w:vertAlign w:val="superscript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702" w:type="dxa"/>
            <w:vMerge w:val="continue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hint="eastAsia" w:eastAsia="宋体"/>
                <w:color w:val="000000"/>
                <w:szCs w:val="21"/>
                <w:lang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氮氧化物</w:t>
            </w:r>
          </w:p>
        </w:tc>
        <w:tc>
          <w:tcPr>
            <w:tcW w:w="2552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hint="default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16.9吨</w:t>
            </w:r>
          </w:p>
        </w:tc>
        <w:tc>
          <w:tcPr>
            <w:tcW w:w="1984" w:type="dxa"/>
            <w:vAlign w:val="center"/>
          </w:tcPr>
          <w:p>
            <w:pPr>
              <w:spacing w:line="6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30mg/m</w:t>
            </w:r>
            <w:r>
              <w:rPr>
                <w:rFonts w:hint="eastAsia" w:ascii="宋体" w:hAnsi="宋体"/>
                <w:szCs w:val="21"/>
                <w:vertAlign w:val="superscript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0" w:hRule="atLeast"/>
          <w:jc w:val="center"/>
        </w:trPr>
        <w:tc>
          <w:tcPr>
            <w:tcW w:w="1702" w:type="dxa"/>
            <w:vMerge w:val="continue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hint="default" w:eastAsia="宋体"/>
                <w:color w:val="000000"/>
                <w:kern w:val="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kern w:val="0"/>
                <w:szCs w:val="21"/>
                <w:lang w:val="en-US" w:eastAsia="zh-CN"/>
              </w:rPr>
              <w:t>铅及其化合物</w:t>
            </w:r>
          </w:p>
        </w:tc>
        <w:tc>
          <w:tcPr>
            <w:tcW w:w="2552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ascii="宋体" w:hAnsi="宋体"/>
                <w:szCs w:val="21"/>
              </w:rPr>
              <w:t>0.00954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吨</w:t>
            </w:r>
          </w:p>
        </w:tc>
        <w:tc>
          <w:tcPr>
            <w:tcW w:w="1984" w:type="dxa"/>
            <w:vAlign w:val="center"/>
          </w:tcPr>
          <w:p>
            <w:pPr>
              <w:spacing w:line="620" w:lineRule="exact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0.021mg/m</w:t>
            </w:r>
            <w:r>
              <w:rPr>
                <w:rFonts w:hint="eastAsia" w:ascii="宋体" w:hAnsi="宋体"/>
                <w:szCs w:val="21"/>
                <w:vertAlign w:val="superscript"/>
                <w:lang w:val="en-US" w:eastAsia="zh-CN"/>
              </w:rPr>
              <w:t>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0" w:hRule="atLeast"/>
          <w:jc w:val="center"/>
        </w:trPr>
        <w:tc>
          <w:tcPr>
            <w:tcW w:w="1702" w:type="dxa"/>
            <w:vMerge w:val="restart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危险废物产生</w:t>
            </w:r>
            <w:r>
              <w:rPr>
                <w:rFonts w:ascii="宋体" w:hAnsi="宋体"/>
                <w:szCs w:val="21"/>
              </w:rPr>
              <w:t>及</w:t>
            </w:r>
            <w:r>
              <w:rPr>
                <w:rFonts w:hint="eastAsia" w:ascii="宋体" w:hAnsi="宋体"/>
                <w:szCs w:val="21"/>
              </w:rPr>
              <w:t>处理处置情况</w:t>
            </w:r>
          </w:p>
        </w:tc>
        <w:tc>
          <w:tcPr>
            <w:tcW w:w="3402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名称</w:t>
            </w:r>
          </w:p>
        </w:tc>
        <w:tc>
          <w:tcPr>
            <w:tcW w:w="2552" w:type="dxa"/>
            <w:gridSpan w:val="2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年产生量</w:t>
            </w:r>
          </w:p>
        </w:tc>
        <w:tc>
          <w:tcPr>
            <w:tcW w:w="1984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处置去向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2" w:type="dxa"/>
            <w:vMerge w:val="continue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620" w:lineRule="exact"/>
              <w:jc w:val="center"/>
              <w:rPr>
                <w:rFonts w:hint="default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  <w:lang w:val="en-US" w:eastAsia="zh-CN"/>
              </w:rPr>
              <w:t>阳极泥</w:t>
            </w:r>
          </w:p>
        </w:tc>
        <w:tc>
          <w:tcPr>
            <w:tcW w:w="2552" w:type="dxa"/>
            <w:gridSpan w:val="2"/>
            <w:vAlign w:val="center"/>
          </w:tcPr>
          <w:p>
            <w:pPr>
              <w:spacing w:line="276" w:lineRule="auto"/>
              <w:ind w:firstLine="210" w:firstLineChars="100"/>
              <w:jc w:val="center"/>
              <w:rPr>
                <w:rFonts w:hint="default"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1591.8吨</w:t>
            </w:r>
          </w:p>
        </w:tc>
        <w:tc>
          <w:tcPr>
            <w:tcW w:w="1984" w:type="dxa"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无锡市耀鑫新材料科技有限公司</w:t>
            </w:r>
            <w:r>
              <w:rPr>
                <w:rFonts w:hint="eastAsia" w:ascii="宋体" w:hAnsi="宋体"/>
                <w:szCs w:val="21"/>
                <w:lang w:eastAsia="zh-CN"/>
              </w:rPr>
              <w:t>；</w:t>
            </w:r>
          </w:p>
          <w:p>
            <w:pPr>
              <w:spacing w:line="276" w:lineRule="auto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金隆铜业有限公司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2" w:type="dxa"/>
            <w:vMerge w:val="continue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62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黑铜粉（置换铜粉）</w:t>
            </w:r>
          </w:p>
        </w:tc>
        <w:tc>
          <w:tcPr>
            <w:tcW w:w="2552" w:type="dxa"/>
            <w:gridSpan w:val="2"/>
            <w:vAlign w:val="center"/>
          </w:tcPr>
          <w:p>
            <w:pPr>
              <w:spacing w:line="276" w:lineRule="auto"/>
              <w:ind w:firstLine="210" w:firstLineChars="100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231.6吨</w:t>
            </w:r>
          </w:p>
        </w:tc>
        <w:tc>
          <w:tcPr>
            <w:tcW w:w="1984" w:type="dxa"/>
            <w:vAlign w:val="center"/>
          </w:tcPr>
          <w:p>
            <w:pPr>
              <w:spacing w:line="276" w:lineRule="auto"/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</w:rPr>
              <w:t>乌拉特后旗凯宇再生资源有限责司</w:t>
            </w:r>
            <w:r>
              <w:rPr>
                <w:rFonts w:hint="eastAsia" w:ascii="宋体" w:hAnsi="宋体"/>
                <w:szCs w:val="21"/>
                <w:lang w:eastAsia="zh-CN"/>
              </w:rPr>
              <w:t>；</w:t>
            </w:r>
          </w:p>
          <w:p>
            <w:pPr>
              <w:spacing w:line="276" w:lineRule="auto"/>
              <w:jc w:val="center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潼关中金冶炼有限责任公司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2" w:type="dxa"/>
            <w:vMerge w:val="continue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62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烟灰</w:t>
            </w:r>
          </w:p>
        </w:tc>
        <w:tc>
          <w:tcPr>
            <w:tcW w:w="2552" w:type="dxa"/>
            <w:gridSpan w:val="2"/>
            <w:vAlign w:val="center"/>
          </w:tcPr>
          <w:p>
            <w:pPr>
              <w:spacing w:line="276" w:lineRule="auto"/>
              <w:ind w:firstLine="210" w:firstLineChars="10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55.9</w:t>
            </w:r>
            <w:r>
              <w:rPr>
                <w:rFonts w:hint="eastAsia" w:ascii="宋体" w:hAnsi="宋体"/>
                <w:szCs w:val="21"/>
              </w:rPr>
              <w:t>吨</w:t>
            </w:r>
          </w:p>
        </w:tc>
        <w:tc>
          <w:tcPr>
            <w:tcW w:w="198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泰兴市申联环保科技有限公司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2" w:type="dxa"/>
            <w:vMerge w:val="continue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62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循环水处理污泥</w:t>
            </w:r>
          </w:p>
        </w:tc>
        <w:tc>
          <w:tcPr>
            <w:tcW w:w="2552" w:type="dxa"/>
            <w:gridSpan w:val="2"/>
            <w:vAlign w:val="center"/>
          </w:tcPr>
          <w:p>
            <w:pPr>
              <w:spacing w:line="276" w:lineRule="auto"/>
              <w:ind w:firstLine="210" w:firstLineChars="100"/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213.816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吨</w:t>
            </w:r>
          </w:p>
        </w:tc>
        <w:tc>
          <w:tcPr>
            <w:tcW w:w="1984" w:type="dxa"/>
            <w:vAlign w:val="center"/>
          </w:tcPr>
          <w:p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苏州新区环保服务中心有限公司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2" w:type="dxa"/>
            <w:vMerge w:val="continue"/>
            <w:tcBorders>
              <w:bottom w:val="single" w:color="auto" w:sz="4" w:space="0"/>
            </w:tcBorders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620" w:lineRule="exact"/>
              <w:jc w:val="center"/>
              <w:rPr>
                <w:color w:val="000000"/>
                <w:szCs w:val="21"/>
              </w:rPr>
            </w:pPr>
            <w:r>
              <w:rPr>
                <w:rFonts w:hint="eastAsia"/>
                <w:color w:val="000000"/>
                <w:szCs w:val="21"/>
              </w:rPr>
              <w:t>小废油桶</w:t>
            </w:r>
          </w:p>
        </w:tc>
        <w:tc>
          <w:tcPr>
            <w:tcW w:w="255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276" w:lineRule="auto"/>
              <w:ind w:firstLine="210" w:firstLineChars="10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4.031</w:t>
            </w:r>
            <w:r>
              <w:rPr>
                <w:rFonts w:hint="eastAsia" w:ascii="宋体" w:hAnsi="宋体"/>
                <w:szCs w:val="21"/>
              </w:rPr>
              <w:t>吨</w:t>
            </w:r>
          </w:p>
        </w:tc>
        <w:tc>
          <w:tcPr>
            <w:tcW w:w="1984" w:type="dxa"/>
            <w:tcBorders>
              <w:bottom w:val="single" w:color="auto" w:sz="4" w:space="0"/>
            </w:tcBorders>
          </w:tcPr>
          <w:p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常州永盈环保科技有限公司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02" w:type="dxa"/>
            <w:vMerge w:val="continue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40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620" w:lineRule="exact"/>
              <w:jc w:val="center"/>
              <w:rPr>
                <w:rFonts w:hint="eastAsia" w:eastAsia="宋体"/>
                <w:color w:val="000000"/>
                <w:szCs w:val="21"/>
                <w:lang w:val="en-US" w:eastAsia="zh-CN"/>
              </w:rPr>
            </w:pPr>
            <w:r>
              <w:rPr>
                <w:rFonts w:hint="eastAsia"/>
                <w:color w:val="000000"/>
                <w:szCs w:val="21"/>
              </w:rPr>
              <w:t>废</w:t>
            </w:r>
            <w:r>
              <w:rPr>
                <w:rFonts w:hint="eastAsia"/>
                <w:color w:val="000000"/>
                <w:szCs w:val="21"/>
                <w:lang w:val="en-US" w:eastAsia="zh-CN"/>
              </w:rPr>
              <w:t>油</w:t>
            </w:r>
          </w:p>
        </w:tc>
        <w:tc>
          <w:tcPr>
            <w:tcW w:w="2552" w:type="dxa"/>
            <w:gridSpan w:val="2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276" w:lineRule="auto"/>
              <w:ind w:firstLine="210" w:firstLineChars="100"/>
              <w:jc w:val="center"/>
              <w:rPr>
                <w:rFonts w:hint="default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9.928吨</w:t>
            </w:r>
          </w:p>
        </w:tc>
        <w:tc>
          <w:tcPr>
            <w:tcW w:w="1984" w:type="dxa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pacing w:line="276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无锡市文昊环保工程有限公司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3" w:hRule="atLeast"/>
          <w:jc w:val="center"/>
        </w:trPr>
        <w:tc>
          <w:tcPr>
            <w:tcW w:w="1702" w:type="dxa"/>
            <w:vAlign w:val="center"/>
          </w:tcPr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依法落实环境风</w:t>
            </w:r>
          </w:p>
          <w:p>
            <w:pPr>
              <w:spacing w:line="6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险防控措施情况</w:t>
            </w:r>
          </w:p>
        </w:tc>
        <w:tc>
          <w:tcPr>
            <w:tcW w:w="7938" w:type="dxa"/>
            <w:gridSpan w:val="5"/>
            <w:vAlign w:val="center"/>
          </w:tcPr>
          <w:p>
            <w:pPr>
              <w:spacing w:line="360" w:lineRule="auto"/>
              <w:ind w:firstLine="480"/>
              <w:rPr>
                <w:sz w:val="24"/>
              </w:rPr>
            </w:pPr>
            <w:r>
              <w:rPr>
                <w:rFonts w:hint="eastAsia"/>
                <w:sz w:val="24"/>
              </w:rPr>
              <w:t>厂区内</w:t>
            </w:r>
            <w:r>
              <w:rPr>
                <w:sz w:val="24"/>
              </w:rPr>
              <w:t>实行“清污分流、雨污分流”，雨水排入雨水管网，生产废水和生活污水经过处理后全部回用，不向外环境排放。</w:t>
            </w:r>
          </w:p>
          <w:p>
            <w:pPr>
              <w:spacing w:line="360" w:lineRule="auto"/>
              <w:ind w:firstLine="480"/>
              <w:rPr>
                <w:rFonts w:hint="eastAsia"/>
                <w:sz w:val="24"/>
                <w:lang w:val="en-US" w:eastAsia="zh-CN"/>
              </w:rPr>
            </w:pPr>
            <w:r>
              <w:rPr>
                <w:rFonts w:hint="eastAsia"/>
                <w:sz w:val="24"/>
              </w:rPr>
              <w:t>废气主要有颗粒物</w:t>
            </w:r>
            <w:r>
              <w:rPr>
                <w:rFonts w:hint="eastAsia"/>
                <w:sz w:val="24"/>
                <w:lang w:eastAsia="zh-CN"/>
              </w:rPr>
              <w:t>、</w:t>
            </w:r>
            <w:r>
              <w:rPr>
                <w:rFonts w:hint="eastAsia"/>
                <w:sz w:val="24"/>
                <w:lang w:val="en-US" w:eastAsia="zh-CN"/>
              </w:rPr>
              <w:t>二氧化硫、氮氧化物、铅及其化合物、硫酸雾等污染物</w:t>
            </w:r>
            <w:bookmarkStart w:id="0" w:name="_GoBack"/>
            <w:bookmarkEnd w:id="0"/>
            <w:r>
              <w:rPr>
                <w:rFonts w:hint="eastAsia"/>
                <w:sz w:val="24"/>
              </w:rPr>
              <w:t>，建设有布袋除尘</w:t>
            </w:r>
            <w:r>
              <w:rPr>
                <w:rFonts w:hint="eastAsia"/>
                <w:sz w:val="24"/>
                <w:lang w:eastAsia="zh-CN"/>
              </w:rPr>
              <w:t>、</w:t>
            </w:r>
            <w:r>
              <w:rPr>
                <w:rFonts w:hint="eastAsia"/>
                <w:sz w:val="24"/>
                <w:lang w:val="en-US" w:eastAsia="zh-CN"/>
              </w:rPr>
              <w:t>双氧水脱硫、电除雾、酸雾净化等</w:t>
            </w:r>
            <w:r>
              <w:rPr>
                <w:rFonts w:hint="eastAsia"/>
                <w:sz w:val="24"/>
              </w:rPr>
              <w:t>装置，废气经处理后达标</w:t>
            </w:r>
            <w:r>
              <w:rPr>
                <w:rFonts w:hint="eastAsia"/>
                <w:sz w:val="24"/>
                <w:lang w:val="en-US" w:eastAsia="zh-CN"/>
              </w:rPr>
              <w:t>排放。</w:t>
            </w:r>
          </w:p>
          <w:p>
            <w:pPr>
              <w:spacing w:line="360" w:lineRule="auto"/>
              <w:ind w:firstLine="480"/>
              <w:rPr>
                <w:rFonts w:hint="eastAsia"/>
                <w:sz w:val="24"/>
              </w:rPr>
            </w:pPr>
            <w:r>
              <w:rPr>
                <w:rFonts w:hint="eastAsia"/>
                <w:sz w:val="24"/>
              </w:rPr>
              <w:t>危废</w:t>
            </w:r>
            <w:r>
              <w:rPr>
                <w:rFonts w:hint="eastAsia"/>
                <w:sz w:val="24"/>
                <w:lang w:eastAsia="zh-CN"/>
              </w:rPr>
              <w:t>、</w:t>
            </w:r>
            <w:r>
              <w:rPr>
                <w:rFonts w:hint="eastAsia"/>
                <w:sz w:val="24"/>
                <w:lang w:val="en-US" w:eastAsia="zh-CN"/>
              </w:rPr>
              <w:t>一般工业固废</w:t>
            </w:r>
            <w:r>
              <w:rPr>
                <w:rFonts w:hint="eastAsia"/>
                <w:sz w:val="24"/>
              </w:rPr>
              <w:t>委托有资质单位</w:t>
            </w:r>
            <w:r>
              <w:rPr>
                <w:rFonts w:hint="eastAsia"/>
                <w:sz w:val="24"/>
                <w:lang w:val="en-US" w:eastAsia="zh-CN"/>
              </w:rPr>
              <w:t>利用</w:t>
            </w:r>
            <w:r>
              <w:rPr>
                <w:rFonts w:hint="eastAsia"/>
                <w:sz w:val="24"/>
              </w:rPr>
              <w:t>。其它固体</w:t>
            </w:r>
            <w:r>
              <w:rPr>
                <w:rFonts w:hint="eastAsia"/>
                <w:sz w:val="24"/>
                <w:lang w:val="en-US" w:eastAsia="zh-CN"/>
              </w:rPr>
              <w:t>废弃</w:t>
            </w:r>
            <w:r>
              <w:rPr>
                <w:rFonts w:hint="eastAsia"/>
                <w:sz w:val="24"/>
              </w:rPr>
              <w:t>物妥善处置或综合利用。</w:t>
            </w:r>
          </w:p>
          <w:p>
            <w:pPr>
              <w:spacing w:line="360" w:lineRule="auto"/>
              <w:ind w:firstLine="480"/>
              <w:rPr>
                <w:rFonts w:hint="eastAsia" w:asciiTheme="minorEastAsia" w:hAnsiTheme="minorEastAsia" w:eastAsiaTheme="minorEastAsia"/>
                <w:lang w:eastAsia="zh-CN"/>
              </w:rPr>
            </w:pPr>
            <w:r>
              <w:rPr>
                <w:rFonts w:hint="eastAsia"/>
                <w:sz w:val="24"/>
              </w:rPr>
              <w:t>大气污染物、雨水等达标排放；土壤、地下水监测结果全部合格</w:t>
            </w:r>
            <w:r>
              <w:rPr>
                <w:rFonts w:hint="eastAsia"/>
                <w:sz w:val="24"/>
                <w:lang w:eastAsia="zh-CN"/>
              </w:rPr>
              <w:t>。</w:t>
            </w:r>
          </w:p>
        </w:tc>
      </w:tr>
    </w:tbl>
    <w:p/>
    <w:sectPr>
      <w:pgSz w:w="11906" w:h="16838"/>
      <w:pgMar w:top="284" w:right="1800" w:bottom="426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DI3M2MzYjdhMTIxYzkzODVmMDY3NzdkYmRmZjczZmMifQ=="/>
  </w:docVars>
  <w:rsids>
    <w:rsidRoot w:val="1B93396D"/>
    <w:rsid w:val="00117DDB"/>
    <w:rsid w:val="00160DAE"/>
    <w:rsid w:val="001A00C7"/>
    <w:rsid w:val="001B2CE4"/>
    <w:rsid w:val="00204708"/>
    <w:rsid w:val="00220771"/>
    <w:rsid w:val="00270105"/>
    <w:rsid w:val="0029301B"/>
    <w:rsid w:val="00294343"/>
    <w:rsid w:val="0036022D"/>
    <w:rsid w:val="00360A55"/>
    <w:rsid w:val="003A4556"/>
    <w:rsid w:val="003B42D0"/>
    <w:rsid w:val="003E0FCB"/>
    <w:rsid w:val="00444EE5"/>
    <w:rsid w:val="004579C9"/>
    <w:rsid w:val="004D036C"/>
    <w:rsid w:val="00517810"/>
    <w:rsid w:val="00520B61"/>
    <w:rsid w:val="00561EDE"/>
    <w:rsid w:val="005643C3"/>
    <w:rsid w:val="005C1381"/>
    <w:rsid w:val="006A2E10"/>
    <w:rsid w:val="00711E98"/>
    <w:rsid w:val="00717D6D"/>
    <w:rsid w:val="007258EC"/>
    <w:rsid w:val="00733699"/>
    <w:rsid w:val="007854E3"/>
    <w:rsid w:val="0080210B"/>
    <w:rsid w:val="00807D72"/>
    <w:rsid w:val="00852A43"/>
    <w:rsid w:val="00925706"/>
    <w:rsid w:val="00937FF0"/>
    <w:rsid w:val="009B4BA6"/>
    <w:rsid w:val="00AD5FBB"/>
    <w:rsid w:val="00AF1F54"/>
    <w:rsid w:val="00B076ED"/>
    <w:rsid w:val="00C84187"/>
    <w:rsid w:val="00CA6619"/>
    <w:rsid w:val="00CF50FC"/>
    <w:rsid w:val="00D31B3F"/>
    <w:rsid w:val="00D76433"/>
    <w:rsid w:val="00DF3A9D"/>
    <w:rsid w:val="00DF642F"/>
    <w:rsid w:val="00E16303"/>
    <w:rsid w:val="00E47007"/>
    <w:rsid w:val="00ED6494"/>
    <w:rsid w:val="00F933ED"/>
    <w:rsid w:val="1B93396D"/>
    <w:rsid w:val="23461BE4"/>
    <w:rsid w:val="35DF205A"/>
    <w:rsid w:val="3ED65DE5"/>
    <w:rsid w:val="71D71BC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uiPriority="0" w:name="annotation text"/>
    <w:lsdException w:unhideWhenUsed="0" w:uiPriority="0" w:semiHidden="0" w:name="header"/>
    <w:lsdException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1"/>
    <w:uiPriority w:val="0"/>
    <w:rPr>
      <w:rFonts w:ascii="宋体"/>
      <w:sz w:val="18"/>
      <w:szCs w:val="18"/>
    </w:rPr>
  </w:style>
  <w:style w:type="paragraph" w:styleId="3">
    <w:name w:val="Balloon Text"/>
    <w:basedOn w:val="1"/>
    <w:link w:val="10"/>
    <w:uiPriority w:val="0"/>
    <w:rPr>
      <w:sz w:val="18"/>
      <w:szCs w:val="18"/>
    </w:rPr>
  </w:style>
  <w:style w:type="paragraph" w:styleId="4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字符"/>
    <w:basedOn w:val="7"/>
    <w:link w:val="5"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9">
    <w:name w:val="页脚 字符"/>
    <w:basedOn w:val="7"/>
    <w:link w:val="4"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10">
    <w:name w:val="批注框文本 字符"/>
    <w:basedOn w:val="7"/>
    <w:link w:val="3"/>
    <w:uiPriority w:val="0"/>
    <w:rPr>
      <w:rFonts w:ascii="Calibri" w:hAnsi="Calibri" w:eastAsia="宋体" w:cs="Times New Roman"/>
      <w:kern w:val="2"/>
      <w:sz w:val="18"/>
      <w:szCs w:val="18"/>
    </w:rPr>
  </w:style>
  <w:style w:type="character" w:customStyle="1" w:styleId="11">
    <w:name w:val="文档结构图 字符"/>
    <w:basedOn w:val="7"/>
    <w:link w:val="2"/>
    <w:uiPriority w:val="0"/>
    <w:rPr>
      <w:rFonts w:ascii="宋体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2</Pages>
  <Words>606</Words>
  <Characters>727</Characters>
  <Lines>5</Lines>
  <Paragraphs>1</Paragraphs>
  <TotalTime>16</TotalTime>
  <ScaleCrop>false</ScaleCrop>
  <LinksUpToDate>false</LinksUpToDate>
  <CharactersWithSpaces>728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2022-03-23T05:54:00Z</dcterms:created>
  <dc:creator>ASUS</dc:creator>
  <cp:lastModifiedBy>卡卡</cp:lastModifiedBy>
  <cp:lastPrinted>2018-05-24T03:18:00Z</cp:lastPrinted>
  <dcterms:modified xsi:type="dcterms:W3CDTF">2023-03-22T00:30:39Z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229EF61EB79B4ACD8665B7E7BEA43E21</vt:lpwstr>
  </property>
</Properties>
</file>