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80"/>
          <w:tab w:val="left" w:pos="1260"/>
          <w:tab w:val="left" w:pos="1287"/>
        </w:tabs>
        <w:adjustRightInd w:val="0"/>
        <w:textAlignment w:val="baseline"/>
        <w:rPr>
          <w:rFonts w:ascii="宋体" w:hAnsi="宋体" w:cs="Arial"/>
          <w:snapToGrid w:val="0"/>
          <w:sz w:val="24"/>
        </w:rPr>
      </w:pPr>
    </w:p>
    <w:tbl>
      <w:tblPr>
        <w:tblStyle w:val="14"/>
        <w:tblW w:w="1395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2"/>
        <w:gridCol w:w="1230"/>
        <w:gridCol w:w="1260"/>
        <w:gridCol w:w="9695"/>
        <w:gridCol w:w="98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92" w:type="dxa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宋体" w:hAnsi="宋体" w:cs="Arial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序号</w:t>
            </w:r>
          </w:p>
        </w:tc>
        <w:tc>
          <w:tcPr>
            <w:tcW w:w="2490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Arial"/>
                <w:sz w:val="24"/>
              </w:rPr>
            </w:pPr>
            <w:r>
              <w:rPr>
                <w:rFonts w:hint="eastAsia" w:ascii="宋体" w:hAnsi="宋体" w:cs="Arial"/>
                <w:sz w:val="24"/>
              </w:rPr>
              <w:t>项目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Arial"/>
                <w:sz w:val="24"/>
              </w:rPr>
            </w:pPr>
            <w:r>
              <w:rPr>
                <w:rFonts w:hint="eastAsia" w:ascii="宋体" w:hAnsi="宋体" w:cs="Arial"/>
                <w:sz w:val="24"/>
              </w:rPr>
              <w:t>评标要求</w:t>
            </w:r>
          </w:p>
        </w:tc>
        <w:tc>
          <w:tcPr>
            <w:tcW w:w="9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合计100分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4" w:hRule="atLeast"/>
          <w:jc w:val="center"/>
        </w:trPr>
        <w:tc>
          <w:tcPr>
            <w:tcW w:w="792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1</w:t>
            </w:r>
          </w:p>
        </w:tc>
        <w:tc>
          <w:tcPr>
            <w:tcW w:w="1230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商务部分</w:t>
            </w:r>
          </w:p>
          <w:p>
            <w:pPr>
              <w:spacing w:line="360" w:lineRule="auto"/>
              <w:jc w:val="center"/>
              <w:rPr>
                <w:rFonts w:ascii="宋体" w:hAnsi="宋体" w:cs="Arial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（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b/>
                <w:sz w:val="24"/>
              </w:rPr>
              <w:t>0分）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hd w:val="clear" w:color="auto" w:fill="FFFFFF"/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类似业绩</w:t>
            </w:r>
          </w:p>
          <w:p>
            <w:pPr>
              <w:shd w:val="clear" w:color="auto" w:fill="FFFFFF"/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（</w:t>
            </w:r>
            <w:r>
              <w:rPr>
                <w:rFonts w:hint="eastAsia" w:ascii="宋体" w:hAnsi="宋体"/>
                <w:b/>
                <w:bCs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b/>
                <w:bCs/>
                <w:sz w:val="24"/>
              </w:rPr>
              <w:t>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投标人自20</w:t>
            </w:r>
            <w:r>
              <w:rPr>
                <w:rFonts w:ascii="宋体" w:hAnsi="宋体" w:cs="宋体"/>
                <w:kern w:val="0"/>
                <w:sz w:val="24"/>
              </w:rPr>
              <w:t>20</w:t>
            </w:r>
            <w:r>
              <w:rPr>
                <w:rFonts w:hint="eastAsia" w:ascii="宋体" w:hAnsi="宋体" w:cs="宋体"/>
                <w:kern w:val="0"/>
                <w:sz w:val="24"/>
              </w:rPr>
              <w:t>年1月1日以来承担过类似工作服供货业绩（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单次合同大于500套，</w:t>
            </w:r>
            <w:r>
              <w:rPr>
                <w:rFonts w:hint="eastAsia" w:ascii="宋体" w:hAnsi="宋体" w:cs="宋体"/>
                <w:kern w:val="0"/>
                <w:sz w:val="24"/>
              </w:rPr>
              <w:t>提供合同复印件加盖公章，时间以合同签订时间为准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)。</w:t>
            </w:r>
          </w:p>
          <w:p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每提供一个得2分，本项最高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kern w:val="0"/>
                <w:sz w:val="24"/>
              </w:rPr>
              <w:t>分。</w:t>
            </w:r>
          </w:p>
        </w:tc>
        <w:tc>
          <w:tcPr>
            <w:tcW w:w="9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sz w:val="24"/>
              </w:rPr>
              <w:t>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26" w:hRule="atLeast"/>
          <w:jc w:val="center"/>
        </w:trPr>
        <w:tc>
          <w:tcPr>
            <w:tcW w:w="792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23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kern w:val="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价格部分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（5</w:t>
            </w:r>
            <w:r>
              <w:rPr>
                <w:rFonts w:hint="eastAsia" w:ascii="宋体" w:hAnsi="宋体"/>
                <w:b/>
                <w:bCs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hint="eastAsia" w:ascii="宋体" w:hAnsi="宋体" w:eastAsia="宋体" w:cs="Arial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cs="Arial"/>
                <w:sz w:val="24"/>
              </w:rPr>
              <w:t>以有效投标文件的</w:t>
            </w:r>
            <w:r>
              <w:rPr>
                <w:rFonts w:hint="eastAsia" w:ascii="宋体" w:hAnsi="宋体" w:cs="Arial"/>
                <w:sz w:val="24"/>
                <w:lang w:val="en-US" w:eastAsia="zh-CN"/>
              </w:rPr>
              <w:t>投</w:t>
            </w:r>
            <w:r>
              <w:rPr>
                <w:rFonts w:ascii="宋体" w:hAnsi="宋体" w:cs="Arial"/>
                <w:sz w:val="24"/>
              </w:rPr>
              <w:t>标</w:t>
            </w:r>
            <w:r>
              <w:rPr>
                <w:rFonts w:hint="eastAsia" w:ascii="宋体" w:hAnsi="宋体" w:cs="Arial"/>
                <w:sz w:val="24"/>
                <w:lang w:val="en-US" w:eastAsia="zh-CN"/>
              </w:rPr>
              <w:t>总</w:t>
            </w:r>
            <w:r>
              <w:rPr>
                <w:rFonts w:ascii="宋体" w:hAnsi="宋体" w:cs="Arial"/>
                <w:sz w:val="24"/>
              </w:rPr>
              <w:t>价算术平均值为</w:t>
            </w:r>
            <w:r>
              <w:rPr>
                <w:rFonts w:hint="eastAsia" w:ascii="宋体" w:hAnsi="宋体" w:cs="Arial"/>
                <w:sz w:val="24"/>
                <w:lang w:val="en-US" w:eastAsia="zh-CN"/>
              </w:rPr>
              <w:t>基准价，</w:t>
            </w:r>
            <w:r>
              <w:rPr>
                <w:rFonts w:hint="eastAsia" w:ascii="宋体" w:hAnsi="宋体" w:cs="Arial"/>
                <w:sz w:val="24"/>
              </w:rPr>
              <w:t>投标人投标报价每高于评标基准价1%扣0.5分。每低于评标基准价1%扣0.</w:t>
            </w:r>
            <w:r>
              <w:rPr>
                <w:rFonts w:hint="eastAsia" w:ascii="宋体" w:hAnsi="宋体" w:cs="Arial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Arial"/>
                <w:sz w:val="24"/>
              </w:rPr>
              <w:t>分，不足1%按线性插入法计算，扣完为止。</w:t>
            </w:r>
          </w:p>
        </w:tc>
        <w:tc>
          <w:tcPr>
            <w:tcW w:w="9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</w:rPr>
              <w:t>5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sz w:val="24"/>
              </w:rPr>
              <w:t>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3" w:hRule="atLeast"/>
          <w:jc w:val="center"/>
        </w:trPr>
        <w:tc>
          <w:tcPr>
            <w:tcW w:w="792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23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kern w:val="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hd w:val="clear" w:color="auto" w:fill="FFFFFF"/>
              <w:spacing w:line="360" w:lineRule="auto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服务方案（5分）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根据本项目的具体情况，就货物的供货计划、质量保证、售后服务、配送方案等方面制定具体方案。</w:t>
            </w:r>
          </w:p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评标委员会根据投标人提供的服务方案酌情打分。</w:t>
            </w:r>
          </w:p>
        </w:tc>
        <w:tc>
          <w:tcPr>
            <w:tcW w:w="981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8" w:hRule="atLeast"/>
          <w:jc w:val="center"/>
        </w:trPr>
        <w:tc>
          <w:tcPr>
            <w:tcW w:w="792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230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技术部分（</w:t>
            </w:r>
            <w:r>
              <w:rPr>
                <w:rFonts w:hint="eastAsia" w:ascii="宋体" w:hAnsi="宋体"/>
                <w:b/>
                <w:bCs/>
                <w:kern w:val="0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b/>
                <w:bCs/>
                <w:kern w:val="0"/>
                <w:sz w:val="24"/>
              </w:rPr>
              <w:t>分）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外观要求</w:t>
            </w:r>
          </w:p>
          <w:p>
            <w:pPr>
              <w:shd w:val="clear" w:color="auto" w:fill="FFFFFF"/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样品整洁美观，无污渍。样品颜色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以买方样品为准</w:t>
            </w:r>
            <w:r>
              <w:rPr>
                <w:rFonts w:hint="eastAsia" w:ascii="宋体" w:hAnsi="宋体" w:cs="宋体"/>
                <w:kern w:val="0"/>
                <w:sz w:val="24"/>
              </w:rPr>
              <w:t>，无色差。样品无多余线头。纽扣扣眼顺直均匀、间距相等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</w:t>
            </w:r>
            <w:r>
              <w:rPr>
                <w:rFonts w:hint="eastAsia"/>
                <w:lang w:val="zh-CN"/>
              </w:rPr>
              <w:t>配件完整且拉扣顺畅</w:t>
            </w:r>
            <w:r>
              <w:rPr>
                <w:rFonts w:hint="eastAsia" w:ascii="宋体" w:hAnsi="宋体" w:cs="宋体"/>
                <w:kern w:val="0"/>
                <w:sz w:val="24"/>
              </w:rPr>
              <w:t>。领缺嘴大小一致，驳头平服、两端整齐，领窝圆顺、领面平服、松紧适宜、外口顺直不起翘，底领不外露。袖子长短、袖口大小、宽窄一致，袖袢高低、长短宽窄一致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关键部位打扣结</w:t>
            </w:r>
            <w:r>
              <w:rPr>
                <w:rFonts w:hint="eastAsia" w:ascii="宋体" w:hAnsi="宋体" w:cs="宋体"/>
                <w:kern w:val="0"/>
                <w:sz w:val="24"/>
              </w:rPr>
              <w:t>。</w:t>
            </w:r>
          </w:p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由评委专家根据投标人提供的样品进行打分，由高到低分四个档次，第一档(8，10]分，第二档(6，8]分，第三档(4，6]分，第四档[0，4]分。未提供样品的，将以零分计取。</w:t>
            </w:r>
          </w:p>
        </w:tc>
        <w:tc>
          <w:tcPr>
            <w:tcW w:w="981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sz w:val="24"/>
              </w:rPr>
              <w:t>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25" w:hRule="atLeast"/>
          <w:jc w:val="center"/>
        </w:trPr>
        <w:tc>
          <w:tcPr>
            <w:tcW w:w="792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23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kern w:val="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做工要求</w:t>
            </w:r>
          </w:p>
          <w:p>
            <w:pPr>
              <w:shd w:val="clear" w:color="auto" w:fill="FFFFFF"/>
              <w:spacing w:line="360" w:lineRule="auto"/>
              <w:jc w:val="center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（10分）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车线平整，不起皱、不扭曲。双线部分要求用双针车车缝。底面线均匀、不跳针、不浮线、不断线。样品平服、挺括、线路顺直、左右对称。面、里布不能有色差、脏污、抽纱，不可恢复性针眼等现象。要求对条对格的面料，条纹要对准确。</w:t>
            </w:r>
          </w:p>
          <w:p>
            <w:pPr>
              <w:autoSpaceDE w:val="0"/>
              <w:autoSpaceDN w:val="0"/>
              <w:spacing w:line="360" w:lineRule="auto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由评委专家根据投标人提供的样品进行打分，由高到低分四个档次，第一档(8，10]分，第二档(6，8]分，第三档(4，6]分，第四档[0，4]分。未提供样品的，将以零分计取。</w:t>
            </w:r>
          </w:p>
        </w:tc>
        <w:tc>
          <w:tcPr>
            <w:tcW w:w="981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0" w:hRule="atLeast"/>
          <w:jc w:val="center"/>
        </w:trPr>
        <w:tc>
          <w:tcPr>
            <w:tcW w:w="792" w:type="dxa"/>
            <w:vMerge w:val="continue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23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kern w:val="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面料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要求</w:t>
            </w:r>
          </w:p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分）</w:t>
            </w:r>
          </w:p>
        </w:tc>
        <w:tc>
          <w:tcPr>
            <w:tcW w:w="9695" w:type="dxa"/>
            <w:noWrap w:val="0"/>
            <w:vAlign w:val="center"/>
          </w:tcPr>
          <w:p>
            <w:pPr>
              <w:spacing w:line="520" w:lineRule="exact"/>
              <w:jc w:val="both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评委根据供应商提供的本项目采购的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lang w:val="en-US" w:eastAsia="zh-CN"/>
              </w:rPr>
              <w:t>工作服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所用面料检测报告进行评审，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  <w:lang w:val="en-US" w:eastAsia="zh-CN"/>
              </w:rPr>
              <w:t>检测报告齐全并合格进行打分，</w:t>
            </w:r>
            <w:r>
              <w:rPr>
                <w:rFonts w:hint="eastAsia" w:ascii="宋体" w:hAnsi="宋体" w:cs="宋体"/>
                <w:kern w:val="0"/>
                <w:sz w:val="24"/>
              </w:rPr>
              <w:t>由高到低分四个档次，第一档次(8，10]分，第二档次(6，8]分，第三档次(4，6]分，第四档次[0，4]分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  <w:t>（提供国家法定检测机构出具的 2020 年以来有效期内的检测报告证明材料，不提供检测报告的该项不得分）</w:t>
            </w:r>
          </w:p>
        </w:tc>
        <w:tc>
          <w:tcPr>
            <w:tcW w:w="981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156459D"/>
    <w:multiLevelType w:val="singleLevel"/>
    <w:tmpl w:val="6156459D"/>
    <w:lvl w:ilvl="0" w:tentative="0">
      <w:start w:val="1"/>
      <w:numFmt w:val="bullet"/>
      <w:pStyle w:val="9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hMWQ2Y2U2OWMxMjc0YjQ4NzgzNGY5OTQ0ODVlN2MifQ=="/>
  </w:docVars>
  <w:rsids>
    <w:rsidRoot w:val="6FAC77FA"/>
    <w:rsid w:val="04C45A0F"/>
    <w:rsid w:val="0AD11AE8"/>
    <w:rsid w:val="128A7718"/>
    <w:rsid w:val="15E013DE"/>
    <w:rsid w:val="164057CB"/>
    <w:rsid w:val="24D05BF6"/>
    <w:rsid w:val="2D980D39"/>
    <w:rsid w:val="316378C0"/>
    <w:rsid w:val="33572C5D"/>
    <w:rsid w:val="33CA2E03"/>
    <w:rsid w:val="55DD2EEF"/>
    <w:rsid w:val="57081D47"/>
    <w:rsid w:val="6FAC7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qFormat="1"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  <w:szCs w:val="20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rFonts w:ascii="Calibri" w:hAnsi="Calibri"/>
      <w:b/>
      <w:sz w:val="32"/>
      <w:szCs w:val="20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80" w:after="290" w:line="374" w:lineRule="auto"/>
      <w:outlineLvl w:val="4"/>
    </w:pPr>
    <w:rPr>
      <w:b/>
      <w:bCs/>
      <w:sz w:val="28"/>
      <w:szCs w:val="28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首行缩进"/>
    <w:basedOn w:val="1"/>
    <w:autoRedefine/>
    <w:qFormat/>
    <w:uiPriority w:val="0"/>
    <w:pPr>
      <w:spacing w:line="360" w:lineRule="auto"/>
      <w:ind w:firstLine="480" w:firstLineChars="200"/>
      <w:jc w:val="left"/>
    </w:pPr>
    <w:rPr>
      <w:rFonts w:ascii="宋体" w:hAnsi="宋体"/>
      <w:sz w:val="24"/>
    </w:rPr>
  </w:style>
  <w:style w:type="paragraph" w:styleId="7">
    <w:name w:val="Normal Indent"/>
    <w:basedOn w:val="1"/>
    <w:qFormat/>
    <w:uiPriority w:val="0"/>
    <w:pPr>
      <w:adjustRightInd w:val="0"/>
      <w:spacing w:line="360" w:lineRule="atLeast"/>
      <w:ind w:left="1200" w:hanging="1200"/>
      <w:jc w:val="left"/>
    </w:pPr>
    <w:rPr>
      <w:kern w:val="0"/>
      <w:sz w:val="24"/>
      <w:szCs w:val="20"/>
    </w:rPr>
  </w:style>
  <w:style w:type="paragraph" w:styleId="8">
    <w:name w:val="Body Text Indent"/>
    <w:basedOn w:val="1"/>
    <w:autoRedefine/>
    <w:qFormat/>
    <w:uiPriority w:val="0"/>
    <w:pPr>
      <w:adjustRightInd w:val="0"/>
      <w:spacing w:line="360" w:lineRule="atLeast"/>
      <w:ind w:left="1176" w:firstLine="2"/>
      <w:jc w:val="left"/>
    </w:pPr>
    <w:rPr>
      <w:kern w:val="0"/>
      <w:sz w:val="24"/>
      <w:szCs w:val="20"/>
    </w:rPr>
  </w:style>
  <w:style w:type="paragraph" w:styleId="9">
    <w:name w:val="List Bullet 2"/>
    <w:basedOn w:val="1"/>
    <w:qFormat/>
    <w:uiPriority w:val="0"/>
    <w:pPr>
      <w:numPr>
        <w:ilvl w:val="0"/>
        <w:numId w:val="1"/>
      </w:numPr>
    </w:pPr>
  </w:style>
  <w:style w:type="paragraph" w:styleId="10">
    <w:name w:val="Body Text Indent 2"/>
    <w:basedOn w:val="1"/>
    <w:autoRedefine/>
    <w:qFormat/>
    <w:uiPriority w:val="0"/>
    <w:pPr>
      <w:adjustRightInd w:val="0"/>
      <w:spacing w:line="360" w:lineRule="atLeast"/>
      <w:ind w:left="1260" w:leftChars="525"/>
      <w:jc w:val="left"/>
    </w:pPr>
    <w:rPr>
      <w:kern w:val="0"/>
      <w:sz w:val="24"/>
      <w:szCs w:val="20"/>
    </w:rPr>
  </w:style>
  <w:style w:type="paragraph" w:styleId="11">
    <w:name w:val="toc 1"/>
    <w:basedOn w:val="1"/>
    <w:next w:val="1"/>
    <w:qFormat/>
    <w:uiPriority w:val="39"/>
    <w:pPr>
      <w:spacing w:before="120" w:after="120"/>
      <w:jc w:val="left"/>
    </w:pPr>
    <w:rPr>
      <w:b/>
      <w:bCs/>
      <w:caps/>
      <w:sz w:val="20"/>
      <w:szCs w:val="20"/>
    </w:rPr>
  </w:style>
  <w:style w:type="paragraph" w:styleId="12">
    <w:name w:val="toc 2"/>
    <w:basedOn w:val="1"/>
    <w:next w:val="1"/>
    <w:autoRedefine/>
    <w:qFormat/>
    <w:uiPriority w:val="39"/>
    <w:pPr>
      <w:adjustRightInd w:val="0"/>
      <w:spacing w:line="360" w:lineRule="atLeast"/>
      <w:ind w:left="240"/>
      <w:jc w:val="left"/>
    </w:pPr>
    <w:rPr>
      <w:smallCaps/>
      <w:kern w:val="0"/>
      <w:sz w:val="20"/>
      <w:szCs w:val="20"/>
    </w:rPr>
  </w:style>
  <w:style w:type="paragraph" w:styleId="1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6">
    <w:name w:val="Hyperlink"/>
    <w:qFormat/>
    <w:uiPriority w:val="99"/>
    <w:rPr>
      <w:color w:val="0000FF"/>
      <w:u w:val="single"/>
    </w:rPr>
  </w:style>
  <w:style w:type="paragraph" w:customStyle="1" w:styleId="17">
    <w:name w:val="样式 标题 3列表编号31.1.1 + 四号 加粗 行距: 1.5 倍行距"/>
    <w:basedOn w:val="5"/>
    <w:qFormat/>
    <w:uiPriority w:val="0"/>
    <w:pPr>
      <w:adjustRightInd w:val="0"/>
      <w:spacing w:before="0" w:after="0" w:line="360" w:lineRule="auto"/>
      <w:jc w:val="left"/>
    </w:pPr>
    <w:rPr>
      <w:rFonts w:cs="宋体"/>
      <w:kern w:val="0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1069</Words>
  <Characters>1121</Characters>
  <Lines>0</Lines>
  <Paragraphs>0</Paragraphs>
  <TotalTime>23</TotalTime>
  <ScaleCrop>false</ScaleCrop>
  <LinksUpToDate>false</LinksUpToDate>
  <CharactersWithSpaces>1125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2023-10-30T02:55:00Z</dcterms:created>
  <dc:creator>Wan</dc:creator>
  <cp:lastModifiedBy>fangjs</cp:lastModifiedBy>
  <dcterms:modified xsi:type="dcterms:W3CDTF">2024-02-26T02:01:28Z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A91E560F05D84489B21DF13857DDE038_13</vt:lpwstr>
  </property>
</Properties>
</file>