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AD3E9D">
      <w:pPr>
        <w:spacing w:line="360" w:lineRule="auto"/>
        <w:rPr>
          <w:rFonts w:hint="eastAsia" w:ascii="宋体" w:hAnsi="宋体"/>
          <w:bCs/>
          <w:sz w:val="24"/>
        </w:rPr>
      </w:pPr>
    </w:p>
    <w:p w14:paraId="1DEFE150">
      <w:pPr>
        <w:spacing w:line="360" w:lineRule="auto"/>
        <w:rPr>
          <w:rFonts w:hint="eastAsia"/>
          <w:b/>
          <w:bCs w:val="0"/>
          <w:sz w:val="28"/>
          <w:szCs w:val="28"/>
          <w:highlight w:val="none"/>
          <w:lang w:eastAsia="zh-CN"/>
        </w:rPr>
      </w:pPr>
      <w:r>
        <w:rPr>
          <w:rFonts w:hint="eastAsia"/>
          <w:b/>
          <w:bCs w:val="0"/>
          <w:sz w:val="28"/>
          <w:szCs w:val="28"/>
          <w:highlight w:val="none"/>
          <w:lang w:val="en-US" w:eastAsia="zh-CN"/>
        </w:rPr>
        <w:t>一</w:t>
      </w:r>
      <w:r>
        <w:rPr>
          <w:rFonts w:hint="eastAsia"/>
          <w:b/>
          <w:bCs w:val="0"/>
          <w:sz w:val="28"/>
          <w:szCs w:val="28"/>
          <w:highlight w:val="none"/>
          <w:lang w:eastAsia="zh-CN"/>
        </w:rPr>
        <w:t>、技术参数和要求</w:t>
      </w:r>
    </w:p>
    <w:p w14:paraId="677A9FBD">
      <w:pPr>
        <w:pStyle w:val="2"/>
        <w:rPr>
          <w:rFonts w:hint="default" w:ascii="宋体" w:hAnsi="宋体" w:eastAsia="宋体" w:cs="宋体"/>
          <w:b/>
          <w:sz w:val="21"/>
          <w:szCs w:val="21"/>
          <w:lang w:val="en-US" w:eastAsia="zh-CN"/>
        </w:rPr>
      </w:pPr>
      <w:r>
        <w:rPr>
          <w:rFonts w:hint="eastAsia" w:ascii="宋体" w:hAnsi="宋体" w:eastAsia="宋体" w:cs="宋体"/>
          <w:b/>
          <w:sz w:val="21"/>
          <w:szCs w:val="21"/>
          <w:lang w:val="en-US" w:eastAsia="zh-CN"/>
        </w:rPr>
        <w:t>1、2</w:t>
      </w:r>
      <w:r>
        <w:rPr>
          <w:rFonts w:hint="eastAsia" w:ascii="宋体" w:hAnsi="宋体" w:eastAsia="宋体" w:cs="宋体"/>
          <w:b/>
          <w:sz w:val="21"/>
          <w:szCs w:val="21"/>
          <w:lang w:eastAsia="zh-CN"/>
        </w:rPr>
        <w:t>龙头步进开水设备</w:t>
      </w:r>
    </w:p>
    <w:tbl>
      <w:tblPr>
        <w:tblStyle w:val="8"/>
        <w:tblW w:w="10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9"/>
        <w:gridCol w:w="9233"/>
      </w:tblGrid>
      <w:tr w14:paraId="19E0C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4000694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rPr>
              <w:t>货物内容</w:t>
            </w:r>
          </w:p>
        </w:tc>
        <w:tc>
          <w:tcPr>
            <w:tcW w:w="9233" w:type="dxa"/>
            <w:vAlign w:val="center"/>
          </w:tcPr>
          <w:p w14:paraId="3C315EE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lang w:val="en-US" w:eastAsia="zh-CN"/>
              </w:rPr>
              <w:t>2</w:t>
            </w:r>
            <w:r>
              <w:rPr>
                <w:rFonts w:hint="eastAsia" w:ascii="宋体" w:hAnsi="宋体" w:eastAsia="宋体" w:cs="宋体"/>
                <w:b/>
                <w:sz w:val="21"/>
                <w:szCs w:val="21"/>
              </w:rPr>
              <w:t>龙头</w:t>
            </w:r>
            <w:r>
              <w:rPr>
                <w:rFonts w:hint="eastAsia" w:cs="宋体"/>
                <w:b/>
                <w:sz w:val="21"/>
                <w:szCs w:val="21"/>
                <w:lang w:eastAsia="zh-CN"/>
              </w:rPr>
              <w:t>直饮水</w:t>
            </w:r>
            <w:r>
              <w:rPr>
                <w:rFonts w:hint="eastAsia" w:ascii="宋体" w:hAnsi="宋体" w:eastAsia="宋体" w:cs="宋体"/>
                <w:b/>
                <w:sz w:val="21"/>
                <w:szCs w:val="21"/>
              </w:rPr>
              <w:t>设备</w:t>
            </w:r>
          </w:p>
        </w:tc>
      </w:tr>
      <w:tr w14:paraId="4E895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5BDDA3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FF0000"/>
                <w:sz w:val="21"/>
                <w:szCs w:val="21"/>
              </w:rPr>
            </w:pPr>
            <w:r>
              <w:rPr>
                <w:rFonts w:hint="eastAsia" w:ascii="宋体" w:hAnsi="宋体" w:eastAsia="宋体" w:cs="宋体"/>
                <w:b/>
                <w:color w:val="auto"/>
                <w:sz w:val="21"/>
                <w:szCs w:val="21"/>
              </w:rPr>
              <w:t>尺寸</w:t>
            </w:r>
          </w:p>
        </w:tc>
        <w:tc>
          <w:tcPr>
            <w:tcW w:w="9233" w:type="dxa"/>
            <w:vAlign w:val="center"/>
          </w:tcPr>
          <w:p w14:paraId="3555511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600×500×1</w:t>
            </w:r>
            <w:r>
              <w:rPr>
                <w:rFonts w:hint="eastAsia" w:cs="宋体"/>
                <w:sz w:val="21"/>
                <w:szCs w:val="21"/>
                <w:lang w:val="en-US" w:eastAsia="zh-CN"/>
              </w:rPr>
              <w:t>750</w:t>
            </w:r>
            <w:r>
              <w:rPr>
                <w:rFonts w:hint="eastAsia" w:ascii="宋体" w:hAnsi="宋体" w:eastAsia="宋体" w:cs="宋体"/>
                <w:sz w:val="21"/>
                <w:szCs w:val="21"/>
                <w:lang w:val="en-US" w:eastAsia="zh-CN"/>
              </w:rPr>
              <w:t>（mm）(±10mm)</w:t>
            </w:r>
          </w:p>
        </w:tc>
      </w:tr>
      <w:tr w14:paraId="3E827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32210A0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rPr>
              <w:t>电源</w:t>
            </w:r>
          </w:p>
        </w:tc>
        <w:tc>
          <w:tcPr>
            <w:tcW w:w="9233" w:type="dxa"/>
            <w:vAlign w:val="center"/>
          </w:tcPr>
          <w:p w14:paraId="6968809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lang w:val="en-US" w:eastAsia="zh-CN"/>
              </w:rPr>
            </w:pPr>
            <w:r>
              <w:rPr>
                <w:rFonts w:hint="eastAsia" w:cs="宋体"/>
                <w:sz w:val="21"/>
                <w:szCs w:val="21"/>
                <w:lang w:val="en-US" w:eastAsia="zh-CN"/>
              </w:rPr>
              <w:t>38</w:t>
            </w:r>
            <w:r>
              <w:rPr>
                <w:rFonts w:hint="eastAsia" w:ascii="宋体" w:hAnsi="宋体" w:eastAsia="宋体" w:cs="宋体"/>
                <w:sz w:val="21"/>
                <w:szCs w:val="21"/>
              </w:rPr>
              <w:t>0V 50Hz</w:t>
            </w:r>
          </w:p>
        </w:tc>
      </w:tr>
      <w:tr w14:paraId="755EA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143C505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rPr>
              <w:t>功率</w:t>
            </w:r>
          </w:p>
        </w:tc>
        <w:tc>
          <w:tcPr>
            <w:tcW w:w="9233" w:type="dxa"/>
            <w:vAlign w:val="center"/>
          </w:tcPr>
          <w:p w14:paraId="31656E9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w:t>
            </w:r>
            <w:r>
              <w:rPr>
                <w:rFonts w:hint="eastAsia" w:cs="宋体"/>
                <w:sz w:val="21"/>
                <w:szCs w:val="21"/>
                <w:lang w:val="en-US" w:eastAsia="zh-CN"/>
              </w:rPr>
              <w:t>6</w:t>
            </w:r>
            <w:r>
              <w:rPr>
                <w:rFonts w:hint="eastAsia" w:ascii="宋体" w:hAnsi="宋体" w:eastAsia="宋体" w:cs="宋体"/>
                <w:sz w:val="21"/>
                <w:szCs w:val="21"/>
              </w:rPr>
              <w:t>KW</w:t>
            </w:r>
          </w:p>
        </w:tc>
      </w:tr>
      <w:tr w14:paraId="47B41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71BEE7F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lang w:eastAsia="zh-CN"/>
              </w:rPr>
              <w:t>水胆</w:t>
            </w:r>
            <w:r>
              <w:rPr>
                <w:rFonts w:hint="eastAsia" w:ascii="宋体" w:hAnsi="宋体" w:eastAsia="宋体" w:cs="宋体"/>
                <w:b/>
                <w:sz w:val="21"/>
                <w:szCs w:val="21"/>
              </w:rPr>
              <w:t>容量</w:t>
            </w:r>
          </w:p>
        </w:tc>
        <w:tc>
          <w:tcPr>
            <w:tcW w:w="9233" w:type="dxa"/>
            <w:vAlign w:val="center"/>
          </w:tcPr>
          <w:p w14:paraId="105C19F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w:t>
            </w:r>
            <w:r>
              <w:rPr>
                <w:rFonts w:hint="eastAsia" w:cs="宋体"/>
                <w:sz w:val="21"/>
                <w:szCs w:val="21"/>
                <w:lang w:val="en-US" w:eastAsia="zh-CN"/>
              </w:rPr>
              <w:t>6</w:t>
            </w:r>
            <w:r>
              <w:rPr>
                <w:rFonts w:hint="eastAsia" w:ascii="宋体" w:hAnsi="宋体" w:eastAsia="宋体" w:cs="宋体"/>
                <w:sz w:val="21"/>
                <w:szCs w:val="21"/>
                <w:lang w:val="en-US" w:eastAsia="zh-CN"/>
              </w:rPr>
              <w:t>0L</w:t>
            </w:r>
          </w:p>
        </w:tc>
      </w:tr>
      <w:tr w14:paraId="58638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55CC422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rPr>
              <w:t>出水方式</w:t>
            </w:r>
          </w:p>
        </w:tc>
        <w:tc>
          <w:tcPr>
            <w:tcW w:w="9233" w:type="dxa"/>
            <w:vAlign w:val="center"/>
          </w:tcPr>
          <w:p w14:paraId="725D7D4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lang w:eastAsia="zh-CN"/>
              </w:rPr>
            </w:pPr>
            <w:r>
              <w:rPr>
                <w:rFonts w:hint="eastAsia" w:cs="宋体"/>
                <w:sz w:val="21"/>
                <w:szCs w:val="21"/>
                <w:lang w:eastAsia="zh-CN"/>
              </w:rPr>
              <w:t>一开一直饮</w:t>
            </w:r>
          </w:p>
        </w:tc>
      </w:tr>
      <w:tr w14:paraId="4BB4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6F0FEF8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rPr>
              <w:t>出水量</w:t>
            </w:r>
          </w:p>
        </w:tc>
        <w:tc>
          <w:tcPr>
            <w:tcW w:w="9233" w:type="dxa"/>
            <w:vAlign w:val="center"/>
          </w:tcPr>
          <w:p w14:paraId="68A02DA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开水</w:t>
            </w:r>
            <w:r>
              <w:rPr>
                <w:rFonts w:hint="eastAsia" w:ascii="宋体" w:hAnsi="宋体" w:eastAsia="宋体" w:cs="宋体"/>
                <w:sz w:val="21"/>
                <w:szCs w:val="21"/>
              </w:rPr>
              <w:t>≥</w:t>
            </w:r>
            <w:r>
              <w:rPr>
                <w:rFonts w:hint="eastAsia" w:cs="宋体"/>
                <w:sz w:val="21"/>
                <w:szCs w:val="21"/>
                <w:lang w:val="en-US" w:eastAsia="zh-CN"/>
              </w:rPr>
              <w:t>60</w:t>
            </w:r>
            <w:r>
              <w:rPr>
                <w:rFonts w:hint="eastAsia" w:ascii="宋体" w:hAnsi="宋体" w:eastAsia="宋体" w:cs="宋体"/>
                <w:sz w:val="21"/>
                <w:szCs w:val="21"/>
              </w:rPr>
              <w:t>L</w:t>
            </w:r>
            <w:r>
              <w:rPr>
                <w:rFonts w:hint="eastAsia" w:ascii="宋体" w:hAnsi="宋体" w:eastAsia="宋体" w:cs="宋体"/>
                <w:sz w:val="21"/>
                <w:szCs w:val="21"/>
                <w:lang w:val="en-US" w:eastAsia="zh-CN"/>
              </w:rPr>
              <w:t>/H</w:t>
            </w:r>
          </w:p>
        </w:tc>
      </w:tr>
      <w:tr w14:paraId="47987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2" w:hRule="atLeast"/>
          <w:jc w:val="center"/>
        </w:trPr>
        <w:tc>
          <w:tcPr>
            <w:tcW w:w="1399" w:type="dxa"/>
            <w:vAlign w:val="center"/>
          </w:tcPr>
          <w:p w14:paraId="4463E7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rPr>
              <w:t>过滤配置</w:t>
            </w:r>
          </w:p>
        </w:tc>
        <w:tc>
          <w:tcPr>
            <w:tcW w:w="9233" w:type="dxa"/>
            <w:vAlign w:val="center"/>
          </w:tcPr>
          <w:p w14:paraId="0AB64A30">
            <w:pPr>
              <w:widowControl w:val="0"/>
              <w:spacing w:line="36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1、五级过滤（PP棉+颗粒活性炭+炭棒滤芯+RO反渗透膜+颗粒活性炭）（制造商必须具有饮水设备反渗透水质处理器的卫生许可批件）保证出水水质达到或高于国家标准GB5749-2006。</w:t>
            </w:r>
          </w:p>
          <w:p w14:paraId="192D9B07">
            <w:pPr>
              <w:widowControl w:val="0"/>
              <w:spacing w:line="360" w:lineRule="auto"/>
              <w:jc w:val="left"/>
              <w:rPr>
                <w:rFonts w:hint="eastAsia" w:ascii="宋体" w:hAnsi="宋体" w:eastAsia="宋体" w:cs="宋体"/>
                <w:sz w:val="21"/>
                <w:szCs w:val="21"/>
                <w:lang w:val="en-US"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2、提供各级滤芯（颗粒活性炭、炭棒、反渗透滤芯）的涉及饮用水卫生安全产品卫生许可批件（品牌必须与所投产品为同一品牌）。</w:t>
            </w:r>
          </w:p>
          <w:p w14:paraId="28DBECC9">
            <w:pPr>
              <w:widowControl w:val="0"/>
              <w:spacing w:line="360" w:lineRule="auto"/>
              <w:jc w:val="left"/>
              <w:rPr>
                <w:rFonts w:hint="eastAsia" w:ascii="宋体" w:hAnsi="宋体" w:eastAsia="宋体" w:cs="宋体"/>
                <w:sz w:val="21"/>
                <w:szCs w:val="21"/>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3、提供滤壳涉及饮用水卫生安全产品卫生许可批件（品牌必须与所投产品为同一品牌）。</w:t>
            </w:r>
          </w:p>
        </w:tc>
      </w:tr>
      <w:tr w14:paraId="5B7041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399" w:type="dxa"/>
            <w:vAlign w:val="center"/>
          </w:tcPr>
          <w:p w14:paraId="724BCC8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rPr>
              <w:t>产品材质</w:t>
            </w:r>
          </w:p>
        </w:tc>
        <w:tc>
          <w:tcPr>
            <w:tcW w:w="9233" w:type="dxa"/>
            <w:vAlign w:val="center"/>
          </w:tcPr>
          <w:p w14:paraId="5B75E660">
            <w:pPr>
              <w:widowControl w:val="0"/>
              <w:spacing w:line="360" w:lineRule="auto"/>
              <w:jc w:val="both"/>
              <w:rPr>
                <w:rFonts w:hint="eastAsia" w:ascii="宋体" w:hAnsi="宋体" w:eastAsia="宋体" w:cs="宋体"/>
                <w:sz w:val="21"/>
                <w:szCs w:val="21"/>
              </w:rPr>
            </w:pPr>
            <w:r>
              <w:rPr>
                <w:rFonts w:hint="eastAsia" w:ascii="宋体" w:hAnsi="宋体" w:eastAsia="宋体" w:cs="宋体"/>
                <w:sz w:val="21"/>
                <w:szCs w:val="21"/>
              </w:rPr>
              <w:t>1、面板</w:t>
            </w:r>
            <w:r>
              <w:rPr>
                <w:rFonts w:hint="eastAsia" w:ascii="宋体" w:hAnsi="宋体" w:eastAsia="宋体" w:cs="宋体"/>
                <w:sz w:val="21"/>
                <w:szCs w:val="21"/>
                <w:lang w:eastAsia="zh-CN"/>
              </w:rPr>
              <w:t>、</w:t>
            </w:r>
            <w:r>
              <w:rPr>
                <w:rFonts w:hint="eastAsia" w:ascii="宋体" w:hAnsi="宋体" w:eastAsia="宋体" w:cs="宋体"/>
                <w:sz w:val="21"/>
                <w:szCs w:val="21"/>
              </w:rPr>
              <w:t>侧板采用不锈钢材质，厚度≥0.</w:t>
            </w:r>
            <w:r>
              <w:rPr>
                <w:rFonts w:hint="eastAsia" w:ascii="宋体" w:hAnsi="宋体" w:eastAsia="宋体" w:cs="宋体"/>
                <w:sz w:val="21"/>
                <w:szCs w:val="21"/>
                <w:lang w:val="en-US" w:eastAsia="zh-CN"/>
              </w:rPr>
              <w:t>6</w:t>
            </w:r>
            <w:r>
              <w:rPr>
                <w:rFonts w:hint="eastAsia" w:ascii="宋体" w:hAnsi="宋体" w:eastAsia="宋体" w:cs="宋体"/>
                <w:sz w:val="21"/>
                <w:szCs w:val="21"/>
              </w:rPr>
              <w:t>mm。</w:t>
            </w:r>
          </w:p>
          <w:p w14:paraId="0A1EE22A">
            <w:pPr>
              <w:pStyle w:val="2"/>
              <w:widowControl w:val="0"/>
              <w:ind w:left="0" w:leftChars="0" w:firstLine="0" w:firstLineChars="0"/>
              <w:jc w:val="both"/>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w:t>
            </w:r>
            <w:r>
              <w:rPr>
                <w:rFonts w:hint="eastAsia" w:ascii="宋体" w:hAnsi="宋体" w:eastAsia="宋体" w:cs="宋体"/>
                <w:sz w:val="21"/>
                <w:szCs w:val="21"/>
                <w:lang w:val="en-US" w:eastAsia="zh-CN"/>
              </w:rPr>
              <w:t>2、</w:t>
            </w:r>
            <w:r>
              <w:rPr>
                <w:rFonts w:hint="eastAsia" w:ascii="宋体" w:hAnsi="宋体" w:eastAsia="宋体" w:cs="宋体"/>
                <w:sz w:val="21"/>
                <w:szCs w:val="21"/>
                <w:lang w:val="en-US" w:eastAsia="zh-CN" w:bidi="ar-SA"/>
              </w:rPr>
              <w:t>水槽采用304不锈钢材质，厚度≥1.0mm，防溅水设计（提供由饮水设备制造商申请送检的材质检测报告）；</w:t>
            </w:r>
          </w:p>
          <w:p w14:paraId="24BA95FE">
            <w:pPr>
              <w:widowControl w:val="0"/>
              <w:spacing w:line="360" w:lineRule="auto"/>
              <w:jc w:val="left"/>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▲3、水胆采用316不锈钢材质，厚度≥1.0mm（提供由饮水设备制造商申请送检的材质检测报告)</w:t>
            </w:r>
          </w:p>
          <w:p w14:paraId="6EB88D80">
            <w:pPr>
              <w:widowControl w:val="0"/>
              <w:spacing w:line="360" w:lineRule="auto"/>
              <w:jc w:val="left"/>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▲4、波纹管及热交换器采用304不锈钢材质；（提供由饮水设备制造商申请送检的材质检测报告）；</w:t>
            </w:r>
          </w:p>
          <w:p w14:paraId="49A48592">
            <w:pPr>
              <w:widowControl w:val="0"/>
              <w:jc w:val="both"/>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▲5、水嘴采用304不锈钢材质（提供由饮水设备制造商申请送检的材质检测报告）</w:t>
            </w:r>
          </w:p>
          <w:p w14:paraId="203699E4">
            <w:pPr>
              <w:pStyle w:val="2"/>
              <w:pageBreakBefore w:val="0"/>
              <w:widowControl w:val="0"/>
              <w:kinsoku/>
              <w:wordWrap/>
              <w:overflowPunct/>
              <w:topLinePunct w:val="0"/>
              <w:autoSpaceDE/>
              <w:autoSpaceDN/>
              <w:bidi w:val="0"/>
              <w:adjustRightInd/>
              <w:snapToGrid/>
              <w:spacing w:line="360" w:lineRule="auto"/>
              <w:ind w:left="0" w:leftChars="0" w:firstLine="0" w:firstLineChars="0"/>
              <w:jc w:val="both"/>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▲6、发热管采用800不锈钢材质（提供由饮水设备制造商申请送检的材质检测报告）</w:t>
            </w:r>
          </w:p>
          <w:p w14:paraId="3B5DEDBD">
            <w:pPr>
              <w:widowControl w:val="0"/>
              <w:spacing w:line="360" w:lineRule="auto"/>
              <w:jc w:val="left"/>
              <w:rPr>
                <w:rFonts w:hint="eastAsia"/>
                <w:lang w:val="en-US" w:eastAsia="zh-CN"/>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bidi="ar-SA"/>
              </w:rPr>
              <w:t>7、提供加热内胆的涉及饮用水卫生安全产品卫生许可批件（品牌必须与所投产品为同一品牌）。</w:t>
            </w:r>
          </w:p>
          <w:p w14:paraId="487920F6">
            <w:pPr>
              <w:widowControl w:val="0"/>
              <w:spacing w:line="360" w:lineRule="auto"/>
              <w:jc w:val="left"/>
              <w:rPr>
                <w:rFonts w:hint="eastAsia" w:ascii="宋体" w:hAnsi="宋体" w:eastAsia="宋体" w:cs="宋体"/>
                <w:sz w:val="21"/>
                <w:szCs w:val="21"/>
                <w:lang w:val="en-US" w:eastAsia="zh-CN" w:bidi="ar-SA"/>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8</w:t>
            </w:r>
            <w:r>
              <w:rPr>
                <w:rFonts w:hint="eastAsia" w:ascii="宋体" w:hAnsi="宋体" w:eastAsia="宋体" w:cs="宋体"/>
                <w:sz w:val="21"/>
                <w:szCs w:val="21"/>
                <w:lang w:val="en-US" w:eastAsia="zh-CN" w:bidi="ar-SA"/>
              </w:rPr>
              <w:t>、提供电热管的涉及饮用水卫生安全产品卫生许可批件（品牌必须与所投产品为同一品牌）。</w:t>
            </w:r>
          </w:p>
          <w:p w14:paraId="57F6ACA7">
            <w:pPr>
              <w:widowControl w:val="0"/>
              <w:spacing w:line="360" w:lineRule="auto"/>
              <w:jc w:val="left"/>
              <w:rPr>
                <w:rFonts w:hint="eastAsia" w:ascii="宋体" w:hAnsi="宋体" w:eastAsia="宋体" w:cs="宋体"/>
                <w:sz w:val="21"/>
                <w:szCs w:val="21"/>
                <w:lang w:val="en-US" w:eastAsia="zh-CN" w:bidi="ar-SA"/>
              </w:rPr>
            </w:pPr>
            <w:r>
              <w:rPr>
                <w:rFonts w:hint="eastAsia" w:ascii="宋体" w:hAnsi="宋体" w:eastAsia="宋体" w:cs="宋体"/>
                <w:sz w:val="21"/>
                <w:szCs w:val="21"/>
                <w:lang w:eastAsia="zh-CN"/>
              </w:rPr>
              <w:t>★</w:t>
            </w:r>
            <w:r>
              <w:rPr>
                <w:rFonts w:hint="eastAsia" w:ascii="宋体" w:hAnsi="宋体" w:eastAsia="宋体" w:cs="宋体"/>
                <w:sz w:val="21"/>
                <w:szCs w:val="21"/>
                <w:lang w:val="en-US" w:eastAsia="zh-CN" w:bidi="ar-SA"/>
              </w:rPr>
              <w:t>9、提供波纹管的涉及饮用水卫生安全产品卫生许可批件（品牌必须与所投产品为同一品牌）</w:t>
            </w:r>
          </w:p>
          <w:p w14:paraId="146D4C97">
            <w:pPr>
              <w:widowControl w:val="0"/>
              <w:spacing w:line="360" w:lineRule="auto"/>
              <w:jc w:val="both"/>
              <w:rPr>
                <w:rFonts w:hint="eastAsia"/>
              </w:rPr>
            </w:pPr>
            <w:r>
              <w:rPr>
                <w:rFonts w:hint="eastAsia" w:ascii="宋体" w:hAnsi="宋体" w:eastAsia="宋体" w:cs="宋体"/>
                <w:sz w:val="21"/>
                <w:szCs w:val="21"/>
                <w:lang w:val="en-US" w:eastAsia="zh-CN" w:bidi="ar-SA"/>
              </w:rPr>
              <w:t>▲10、投标产品依据标准 GB/T 10125-2021的中性盐雾试验(NSS)的要求进行试验，试验后依据GB/T 6461-2002进行保护评级，试验周期在240h或以上。（提供由饮水设备制造商申请的产品防腐蚀性能认证证书及安全认证试验试验报告）</w:t>
            </w:r>
          </w:p>
        </w:tc>
      </w:tr>
      <w:tr w14:paraId="185E0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4E41B3B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rPr>
            </w:pPr>
            <w:r>
              <w:rPr>
                <w:rFonts w:hint="eastAsia" w:ascii="宋体" w:hAnsi="宋体" w:eastAsia="宋体" w:cs="宋体"/>
                <w:b/>
                <w:sz w:val="21"/>
                <w:szCs w:val="21"/>
                <w:lang w:eastAsia="zh-CN"/>
              </w:rPr>
              <w:t>功能</w:t>
            </w:r>
            <w:r>
              <w:rPr>
                <w:rFonts w:hint="eastAsia" w:ascii="宋体" w:hAnsi="宋体" w:eastAsia="宋体" w:cs="宋体"/>
                <w:b/>
                <w:sz w:val="21"/>
                <w:szCs w:val="21"/>
              </w:rPr>
              <w:t>配置</w:t>
            </w:r>
          </w:p>
        </w:tc>
        <w:tc>
          <w:tcPr>
            <w:tcW w:w="9233" w:type="dxa"/>
            <w:vAlign w:val="center"/>
          </w:tcPr>
          <w:p w14:paraId="0B2D1C9B">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▲1、采用触摸式按键取水方式，具有触摸按键操作功能（提供功能性检验报告）</w:t>
            </w:r>
          </w:p>
          <w:p w14:paraId="75663A14">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▲2、具有水电联动功能（提供功能性检验报告）；</w:t>
            </w:r>
          </w:p>
          <w:p w14:paraId="5C8259E3">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▲3、具有水电分离功能（提供功能性检验报告）；</w:t>
            </w:r>
          </w:p>
          <w:p w14:paraId="727201BA">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▲4、具有零压功能（过压保护及泄压阀功能）（提供功能性检验报告）；</w:t>
            </w:r>
          </w:p>
          <w:p w14:paraId="73521693">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w:t>
            </w:r>
            <w:r>
              <w:rPr>
                <w:rFonts w:hint="eastAsia" w:cs="宋体"/>
                <w:sz w:val="21"/>
                <w:szCs w:val="21"/>
                <w:lang w:val="en-US" w:eastAsia="zh-CN"/>
              </w:rPr>
              <w:t>5</w:t>
            </w:r>
            <w:r>
              <w:rPr>
                <w:rFonts w:hint="eastAsia" w:ascii="宋体" w:hAnsi="宋体" w:eastAsia="宋体" w:cs="宋体"/>
                <w:sz w:val="21"/>
                <w:szCs w:val="21"/>
                <w:lang w:val="en-US" w:eastAsia="zh-CN"/>
              </w:rPr>
              <w:t>、采用的液位电极具有防止电腐蚀功能（提供功能性检验报告）；</w:t>
            </w:r>
          </w:p>
          <w:p w14:paraId="74F06F6F">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w:t>
            </w:r>
            <w:r>
              <w:rPr>
                <w:rFonts w:hint="eastAsia" w:cs="宋体"/>
                <w:sz w:val="21"/>
                <w:szCs w:val="21"/>
                <w:lang w:val="en-US" w:eastAsia="zh-CN"/>
              </w:rPr>
              <w:t>6</w:t>
            </w:r>
            <w:r>
              <w:rPr>
                <w:rFonts w:hint="eastAsia" w:ascii="宋体" w:hAnsi="宋体" w:eastAsia="宋体" w:cs="宋体"/>
                <w:sz w:val="21"/>
                <w:szCs w:val="21"/>
                <w:lang w:val="en-US" w:eastAsia="zh-CN"/>
              </w:rPr>
              <w:t>、具有定时开关机功能（提供功能性检验报告）</w:t>
            </w:r>
          </w:p>
          <w:p w14:paraId="755F959A">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ascii="宋体" w:hAnsi="宋体" w:eastAsia="宋体" w:cs="宋体"/>
                <w:sz w:val="21"/>
                <w:szCs w:val="21"/>
                <w:lang w:val="en-US" w:eastAsia="zh-CN"/>
              </w:rPr>
            </w:pPr>
            <w:r>
              <w:rPr>
                <w:rFonts w:hint="eastAsia" w:cs="宋体"/>
                <w:sz w:val="21"/>
                <w:szCs w:val="21"/>
                <w:lang w:val="en-US" w:eastAsia="zh-CN"/>
              </w:rPr>
              <w:t>7</w:t>
            </w:r>
            <w:r>
              <w:rPr>
                <w:rFonts w:hint="eastAsia" w:ascii="宋体" w:hAnsi="宋体" w:eastAsia="宋体" w:cs="宋体"/>
                <w:sz w:val="21"/>
                <w:szCs w:val="21"/>
                <w:lang w:val="en-US" w:eastAsia="zh-CN"/>
              </w:rPr>
              <w:t>、采用智能数码控制系统、带有水位</w:t>
            </w:r>
            <w:r>
              <w:rPr>
                <w:rFonts w:hint="eastAsia" w:cs="宋体"/>
                <w:sz w:val="21"/>
                <w:szCs w:val="21"/>
                <w:lang w:val="en-US" w:eastAsia="zh-CN"/>
              </w:rPr>
              <w:t>、</w:t>
            </w:r>
            <w:r>
              <w:rPr>
                <w:rFonts w:hint="eastAsia" w:ascii="宋体" w:hAnsi="宋体" w:eastAsia="宋体" w:cs="宋体"/>
                <w:sz w:val="21"/>
                <w:szCs w:val="21"/>
                <w:lang w:val="en-US" w:eastAsia="zh-CN"/>
              </w:rPr>
              <w:t>温度显示、加热提示、温保提示、等数码一体化控制功能；</w:t>
            </w:r>
          </w:p>
          <w:p w14:paraId="7B68A48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ascii="宋体" w:hAnsi="宋体" w:eastAsia="宋体" w:cs="宋体"/>
                <w:sz w:val="21"/>
                <w:szCs w:val="21"/>
              </w:rPr>
            </w:pPr>
            <w:r>
              <w:rPr>
                <w:rFonts w:hint="eastAsia" w:cs="宋体"/>
                <w:sz w:val="21"/>
                <w:szCs w:val="21"/>
                <w:lang w:val="en-US" w:eastAsia="zh-CN"/>
              </w:rPr>
              <w:t>8</w:t>
            </w:r>
            <w:r>
              <w:rPr>
                <w:rFonts w:hint="eastAsia" w:ascii="宋体" w:hAnsi="宋体" w:eastAsia="宋体" w:cs="宋体"/>
                <w:sz w:val="21"/>
                <w:szCs w:val="21"/>
                <w:lang w:val="en-US" w:eastAsia="zh-CN"/>
              </w:rPr>
              <w:t>、</w:t>
            </w:r>
            <w:r>
              <w:rPr>
                <w:rFonts w:hint="eastAsia" w:ascii="宋体" w:hAnsi="宋体" w:eastAsia="宋体" w:cs="宋体"/>
                <w:color w:val="000000"/>
                <w:kern w:val="0"/>
                <w:sz w:val="21"/>
                <w:szCs w:val="21"/>
                <w:lang w:val="en-US" w:eastAsia="zh-CN" w:bidi="ar"/>
              </w:rPr>
              <w:t>防干烧、防火阻燃、防漏电、防蒸汽、防开启五防安全技术和故障自动报警功能</w:t>
            </w:r>
            <w:r>
              <w:rPr>
                <w:rFonts w:hint="eastAsia" w:ascii="宋体" w:hAnsi="宋体" w:eastAsia="宋体" w:cs="宋体"/>
                <w:sz w:val="21"/>
                <w:szCs w:val="21"/>
                <w:lang w:val="en-US" w:eastAsia="zh-CN"/>
              </w:rPr>
              <w:t>；</w:t>
            </w:r>
          </w:p>
        </w:tc>
      </w:tr>
      <w:tr w14:paraId="31852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6A6A659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lang w:eastAsia="zh-CN"/>
              </w:rPr>
            </w:pPr>
            <w:r>
              <w:rPr>
                <w:rFonts w:hint="eastAsia" w:ascii="宋体" w:hAnsi="宋体" w:eastAsia="宋体" w:cs="宋体"/>
                <w:b/>
                <w:sz w:val="21"/>
                <w:szCs w:val="21"/>
                <w:lang w:val="en-US" w:eastAsia="zh-CN"/>
              </w:rPr>
              <w:t>制造厂商   认证资质</w:t>
            </w:r>
          </w:p>
        </w:tc>
        <w:tc>
          <w:tcPr>
            <w:tcW w:w="9233" w:type="dxa"/>
            <w:vAlign w:val="center"/>
          </w:tcPr>
          <w:p w14:paraId="4257AA9D">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both"/>
              <w:textAlignment w:val="auto"/>
              <w:rPr>
                <w:rFonts w:hint="eastAsia" w:cs="宋体"/>
                <w:sz w:val="21"/>
                <w:szCs w:val="21"/>
                <w:lang w:val="en-US" w:eastAsia="zh-CN"/>
              </w:rPr>
            </w:pPr>
            <w:r>
              <w:rPr>
                <w:rFonts w:hint="eastAsia" w:ascii="宋体" w:hAnsi="宋体" w:eastAsia="宋体" w:cs="宋体"/>
                <w:sz w:val="21"/>
                <w:szCs w:val="21"/>
                <w:lang w:val="en-US" w:eastAsia="zh-CN"/>
              </w:rPr>
              <w:t>饮水设备制造商同时具有有效期内的全国工业产品生产许可证、ISO9001、ISO14001、ISO45001、CQC认证、中国节能产品认证证书、食品接触产品安全认证证书、RoHS认证证书</w:t>
            </w:r>
          </w:p>
        </w:tc>
      </w:tr>
      <w:tr w14:paraId="2C1F8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9" w:type="dxa"/>
            <w:vAlign w:val="center"/>
          </w:tcPr>
          <w:p w14:paraId="57689BA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sz w:val="21"/>
                <w:szCs w:val="21"/>
                <w:lang w:eastAsia="zh-CN"/>
              </w:rPr>
            </w:pPr>
            <w:r>
              <w:rPr>
                <w:rFonts w:hint="eastAsia" w:ascii="宋体" w:hAnsi="宋体" w:eastAsia="宋体" w:cs="宋体"/>
                <w:b/>
                <w:sz w:val="21"/>
                <w:szCs w:val="21"/>
                <w:lang w:val="en-US" w:eastAsia="zh-CN"/>
              </w:rPr>
              <w:t>企业履约能力认证</w:t>
            </w:r>
          </w:p>
        </w:tc>
        <w:tc>
          <w:tcPr>
            <w:tcW w:w="9233" w:type="dxa"/>
            <w:vAlign w:val="center"/>
          </w:tcPr>
          <w:p w14:paraId="5B39B8E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1、饮水设备制造商具有履约能力评价服务认证证书（认证标准：GB/T 31863-2015；GB/T 27922-2011）；</w:t>
            </w:r>
          </w:p>
          <w:p w14:paraId="53A488E6">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2、社会责任管理体系认证证书(认证标准：GB/T 39604-2020)；</w:t>
            </w:r>
          </w:p>
          <w:p w14:paraId="51920E6D">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3、客户投诉管理体系认证证书（认证标准GB/T 19012-2019/IS010002:2018）；</w:t>
            </w:r>
          </w:p>
          <w:p w14:paraId="3F686222">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cs="宋体"/>
                <w:sz w:val="21"/>
                <w:szCs w:val="21"/>
                <w:lang w:val="en-US" w:eastAsia="zh-CN"/>
              </w:rPr>
            </w:pPr>
            <w:r>
              <w:rPr>
                <w:rFonts w:hint="eastAsia" w:ascii="宋体" w:hAnsi="宋体" w:eastAsia="宋体" w:cs="宋体"/>
                <w:sz w:val="21"/>
                <w:szCs w:val="21"/>
                <w:lang w:val="en-US" w:eastAsia="zh-CN"/>
              </w:rPr>
              <w:t>4、饮水设备制造商具备水处理（设计、安装、维护、调试）企业服务等级。</w:t>
            </w:r>
          </w:p>
        </w:tc>
      </w:tr>
    </w:tbl>
    <w:p w14:paraId="13335EAA">
      <w:pPr>
        <w:pStyle w:val="2"/>
        <w:rPr>
          <w:rFonts w:hint="eastAsia"/>
        </w:rPr>
      </w:pPr>
    </w:p>
    <w:p w14:paraId="5F6AA2CC">
      <w:pPr>
        <w:rPr>
          <w:rFonts w:hint="eastAsia"/>
        </w:rPr>
      </w:pPr>
    </w:p>
    <w:p w14:paraId="4B3EE249">
      <w:pPr>
        <w:pStyle w:val="2"/>
        <w:rPr>
          <w:rFonts w:hint="eastAsia"/>
        </w:rPr>
      </w:pPr>
    </w:p>
    <w:p w14:paraId="12750165">
      <w:pPr>
        <w:rPr>
          <w:rFonts w:hint="eastAsia"/>
        </w:rPr>
      </w:pPr>
    </w:p>
    <w:p w14:paraId="4247DDB0">
      <w:pPr>
        <w:pStyle w:val="2"/>
        <w:rPr>
          <w:rFonts w:hint="eastAsia"/>
        </w:rPr>
      </w:pPr>
    </w:p>
    <w:p w14:paraId="01F0F7A6">
      <w:pPr>
        <w:rPr>
          <w:rFonts w:hint="eastAsia"/>
        </w:rPr>
      </w:pPr>
    </w:p>
    <w:p w14:paraId="215F3A9B">
      <w:pPr>
        <w:pStyle w:val="2"/>
        <w:rPr>
          <w:rFonts w:hint="eastAsia"/>
        </w:rPr>
      </w:pPr>
    </w:p>
    <w:p w14:paraId="523DAD39">
      <w:pPr>
        <w:rPr>
          <w:rFonts w:hint="eastAsia"/>
        </w:rPr>
      </w:pPr>
    </w:p>
    <w:p w14:paraId="6BF343FC">
      <w:pPr>
        <w:pStyle w:val="2"/>
        <w:rPr>
          <w:rFonts w:hint="eastAsia"/>
        </w:rPr>
      </w:pPr>
    </w:p>
    <w:p w14:paraId="6108FBB7">
      <w:pPr>
        <w:rPr>
          <w:rFonts w:hint="eastAsia"/>
        </w:rPr>
      </w:pPr>
    </w:p>
    <w:p w14:paraId="04FB3B7B">
      <w:pPr>
        <w:pStyle w:val="2"/>
        <w:rPr>
          <w:rFonts w:hint="eastAsia"/>
        </w:rPr>
      </w:pPr>
    </w:p>
    <w:p w14:paraId="1E3FC2D8">
      <w:pPr>
        <w:rPr>
          <w:rFonts w:hint="eastAsia"/>
        </w:rPr>
      </w:pPr>
    </w:p>
    <w:p w14:paraId="41E943DC">
      <w:pPr>
        <w:pStyle w:val="2"/>
        <w:rPr>
          <w:rFonts w:hint="eastAsia"/>
        </w:rPr>
      </w:pPr>
    </w:p>
    <w:p w14:paraId="15AFC94D">
      <w:pPr>
        <w:rPr>
          <w:rFonts w:hint="eastAsia"/>
        </w:rPr>
      </w:pPr>
    </w:p>
    <w:p w14:paraId="4E43B080">
      <w:pPr>
        <w:pStyle w:val="2"/>
        <w:rPr>
          <w:rFonts w:hint="eastAsia"/>
        </w:rPr>
      </w:pPr>
    </w:p>
    <w:p w14:paraId="2C437EBA">
      <w:pPr>
        <w:rPr>
          <w:rFonts w:hint="eastAsia"/>
        </w:rPr>
      </w:pPr>
    </w:p>
    <w:p w14:paraId="54813660">
      <w:pPr>
        <w:pStyle w:val="2"/>
        <w:rPr>
          <w:rFonts w:hint="eastAsia"/>
        </w:rPr>
      </w:pPr>
    </w:p>
    <w:p w14:paraId="5AC84EB3">
      <w:pPr>
        <w:rPr>
          <w:rFonts w:hint="eastAsia"/>
        </w:rPr>
      </w:pPr>
    </w:p>
    <w:p w14:paraId="30970A68">
      <w:pPr>
        <w:pStyle w:val="2"/>
        <w:rPr>
          <w:rFonts w:hint="eastAsia"/>
        </w:rPr>
      </w:pPr>
    </w:p>
    <w:p w14:paraId="53BAA26E">
      <w:pPr>
        <w:keepNext w:val="0"/>
        <w:keepLines w:val="0"/>
        <w:pageBreakBefore w:val="0"/>
        <w:widowControl w:val="0"/>
        <w:kinsoku/>
        <w:wordWrap/>
        <w:overflowPunct/>
        <w:topLinePunct w:val="0"/>
        <w:autoSpaceDE/>
        <w:autoSpaceDN/>
        <w:bidi w:val="0"/>
        <w:adjustRightInd/>
        <w:snapToGrid/>
        <w:textAlignment w:val="auto"/>
        <w:rPr>
          <w:rFonts w:hint="eastAsia"/>
        </w:rPr>
      </w:pPr>
      <w:bookmarkStart w:id="0" w:name="_GoBack"/>
      <w:bookmarkEnd w:id="0"/>
    </w:p>
    <w:sectPr>
      <w:pgSz w:w="11906" w:h="16838"/>
      <w:pgMar w:top="1440" w:right="1417" w:bottom="1440" w:left="158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VhMWQ2Y2U2OWMxMjc0YjQ4NzgzNGY5OTQ0ODVlN2MifQ=="/>
  </w:docVars>
  <w:rsids>
    <w:rsidRoot w:val="00000000"/>
    <w:rsid w:val="03F13E3C"/>
    <w:rsid w:val="054A2077"/>
    <w:rsid w:val="061D6D0E"/>
    <w:rsid w:val="068867CD"/>
    <w:rsid w:val="06A0789F"/>
    <w:rsid w:val="06FF295D"/>
    <w:rsid w:val="08150FDF"/>
    <w:rsid w:val="0AAB49E9"/>
    <w:rsid w:val="0D532E09"/>
    <w:rsid w:val="0EF73251"/>
    <w:rsid w:val="12924EFB"/>
    <w:rsid w:val="16446941"/>
    <w:rsid w:val="16F107B6"/>
    <w:rsid w:val="176D0159"/>
    <w:rsid w:val="192E18DC"/>
    <w:rsid w:val="1A0774EB"/>
    <w:rsid w:val="1A6D6418"/>
    <w:rsid w:val="1CB93F01"/>
    <w:rsid w:val="1D503328"/>
    <w:rsid w:val="1F9F75AF"/>
    <w:rsid w:val="2005231A"/>
    <w:rsid w:val="20B57DB9"/>
    <w:rsid w:val="21040E41"/>
    <w:rsid w:val="23921E1C"/>
    <w:rsid w:val="244D65B8"/>
    <w:rsid w:val="250255F5"/>
    <w:rsid w:val="25E71F03"/>
    <w:rsid w:val="29CC60A1"/>
    <w:rsid w:val="29FA10D2"/>
    <w:rsid w:val="2A4D3937"/>
    <w:rsid w:val="2A5A42CB"/>
    <w:rsid w:val="2A8D2785"/>
    <w:rsid w:val="2D4446F9"/>
    <w:rsid w:val="2F0A07C4"/>
    <w:rsid w:val="2F88102C"/>
    <w:rsid w:val="311E0E0E"/>
    <w:rsid w:val="3485325E"/>
    <w:rsid w:val="35562FBC"/>
    <w:rsid w:val="35942C35"/>
    <w:rsid w:val="35B50F82"/>
    <w:rsid w:val="37E25452"/>
    <w:rsid w:val="39050AFF"/>
    <w:rsid w:val="397F500E"/>
    <w:rsid w:val="39C01BF7"/>
    <w:rsid w:val="3AFB0754"/>
    <w:rsid w:val="3CCB590D"/>
    <w:rsid w:val="3CF655E7"/>
    <w:rsid w:val="3E293694"/>
    <w:rsid w:val="3EA80B63"/>
    <w:rsid w:val="41F07E78"/>
    <w:rsid w:val="43530B62"/>
    <w:rsid w:val="44A04F16"/>
    <w:rsid w:val="46771D0B"/>
    <w:rsid w:val="48944498"/>
    <w:rsid w:val="48AD628F"/>
    <w:rsid w:val="4A0A64FD"/>
    <w:rsid w:val="4B703029"/>
    <w:rsid w:val="4C50553A"/>
    <w:rsid w:val="4C9E2C00"/>
    <w:rsid w:val="4FF452FD"/>
    <w:rsid w:val="50C25630"/>
    <w:rsid w:val="50C915BC"/>
    <w:rsid w:val="51CA5150"/>
    <w:rsid w:val="52E56AD4"/>
    <w:rsid w:val="53091650"/>
    <w:rsid w:val="5725603D"/>
    <w:rsid w:val="58C47CAB"/>
    <w:rsid w:val="59686025"/>
    <w:rsid w:val="59F00553"/>
    <w:rsid w:val="5A3C6448"/>
    <w:rsid w:val="5AC661A1"/>
    <w:rsid w:val="5C335AB8"/>
    <w:rsid w:val="5CA347F4"/>
    <w:rsid w:val="5CBE0C54"/>
    <w:rsid w:val="5D2F7AE8"/>
    <w:rsid w:val="5DBE0396"/>
    <w:rsid w:val="5EDC7BDE"/>
    <w:rsid w:val="5EE35099"/>
    <w:rsid w:val="5F814BDF"/>
    <w:rsid w:val="60251BBC"/>
    <w:rsid w:val="60413E69"/>
    <w:rsid w:val="60EC03FC"/>
    <w:rsid w:val="6105577D"/>
    <w:rsid w:val="613F54CD"/>
    <w:rsid w:val="61A13291"/>
    <w:rsid w:val="61AB3EA6"/>
    <w:rsid w:val="636A7FA7"/>
    <w:rsid w:val="63C81267"/>
    <w:rsid w:val="643715F0"/>
    <w:rsid w:val="65E94F8F"/>
    <w:rsid w:val="67174A68"/>
    <w:rsid w:val="676C04CB"/>
    <w:rsid w:val="68BE5802"/>
    <w:rsid w:val="68D217B6"/>
    <w:rsid w:val="68FC0E60"/>
    <w:rsid w:val="6C9E5879"/>
    <w:rsid w:val="6E1919F0"/>
    <w:rsid w:val="6E9F2B3A"/>
    <w:rsid w:val="6EB10DE4"/>
    <w:rsid w:val="6EC27756"/>
    <w:rsid w:val="6ECD5B9A"/>
    <w:rsid w:val="6FA918B1"/>
    <w:rsid w:val="72404633"/>
    <w:rsid w:val="73B62679"/>
    <w:rsid w:val="747168DB"/>
    <w:rsid w:val="753253CC"/>
    <w:rsid w:val="79366790"/>
    <w:rsid w:val="7A3358A3"/>
    <w:rsid w:val="7AAD475A"/>
    <w:rsid w:val="7B007056"/>
    <w:rsid w:val="7B100222"/>
    <w:rsid w:val="7B766857"/>
    <w:rsid w:val="7B8D0AE3"/>
    <w:rsid w:val="7E3F5BD1"/>
    <w:rsid w:val="7F2867B8"/>
    <w:rsid w:val="7F324F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left"/>
    </w:pPr>
    <w:rPr>
      <w:rFonts w:ascii="宋体" w:hAnsi="宋体" w:eastAsia="宋体" w:cs="宋体"/>
      <w:kern w:val="2"/>
      <w:sz w:val="24"/>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4">
    <w:name w:val="heading 2"/>
    <w:basedOn w:val="1"/>
    <w:next w:val="1"/>
    <w:qFormat/>
    <w:uiPriority w:val="0"/>
    <w:pPr>
      <w:keepNext/>
      <w:keepLines/>
      <w:spacing w:before="260" w:after="260" w:line="416" w:lineRule="auto"/>
      <w:outlineLvl w:val="1"/>
    </w:pPr>
    <w:rPr>
      <w:rFonts w:ascii="宋体" w:hAnsi="Arial"/>
      <w:sz w:val="28"/>
      <w:szCs w:val="32"/>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39"/>
    <w:pPr>
      <w:tabs>
        <w:tab w:val="left" w:pos="1260"/>
        <w:tab w:val="left" w:pos="1685"/>
        <w:tab w:val="right" w:leader="dot" w:pos="8400"/>
      </w:tabs>
      <w:spacing w:line="320" w:lineRule="exact"/>
      <w:ind w:firstLine="280" w:firstLineChars="100"/>
    </w:pPr>
  </w:style>
  <w:style w:type="paragraph" w:styleId="5">
    <w:name w:val="toa heading"/>
    <w:basedOn w:val="1"/>
    <w:next w:val="1"/>
    <w:qFormat/>
    <w:uiPriority w:val="0"/>
    <w:pPr>
      <w:spacing w:before="120" w:beforeLines="0"/>
    </w:pPr>
    <w:rPr>
      <w:rFonts w:ascii="Arial" w:hAnsi="Arial"/>
      <w:b/>
      <w:bCs/>
      <w:szCs w:val="24"/>
    </w:rPr>
  </w:style>
  <w:style w:type="paragraph" w:styleId="6">
    <w:name w:val="Body Text First Indent"/>
    <w:basedOn w:val="1"/>
    <w:qFormat/>
    <w:uiPriority w:val="0"/>
    <w:pPr>
      <w:tabs>
        <w:tab w:val="left" w:pos="420"/>
      </w:tabs>
      <w:ind w:firstLine="560" w:firstLineChars="200"/>
      <w:jc w:val="left"/>
    </w:pPr>
    <w:rPr>
      <w:rFonts w:ascii="Arial" w:hAnsi="Arial"/>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NormalCharact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1317</Words>
  <Characters>1500</Characters>
  <Lines>0</Lines>
  <Paragraphs>0</Paragraphs>
  <TotalTime>159</TotalTime>
  <ScaleCrop>false</ScaleCrop>
  <LinksUpToDate>false</LinksUpToDate>
  <CharactersWithSpaces>1511</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2021-09-26T02:09:00Z</dcterms:created>
  <dc:creator>Administrator</dc:creator>
  <cp:lastModifiedBy>fangjs</cp:lastModifiedBy>
  <cp:lastPrinted>2024-09-09T01:30:00Z</cp:lastPrinted>
  <dcterms:modified xsi:type="dcterms:W3CDTF">2024-09-18T07:26:47Z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423B269DD9E844E398C5E3330925BE4E</vt:lpwstr>
  </property>
</Properties>
</file>