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jc w:val="center"/>
        <w:rPr>
          <w:b/>
          <w:sz w:val="24"/>
        </w:rPr>
      </w:pPr>
      <w:r>
        <w:rPr>
          <w:rFonts w:hint="eastAsia"/>
          <w:b/>
          <w:sz w:val="24"/>
        </w:rPr>
        <w:t>货物技术要求</w:t>
      </w:r>
    </w:p>
    <w:p>
      <w:pPr>
        <w:numPr>
          <w:ilvl w:val="0"/>
          <w:numId w:val="1"/>
        </w:numPr>
        <w:tabs>
          <w:tab w:val="left" w:pos="360"/>
        </w:tabs>
        <w:spacing w:beforeLines="50" w:afterLines="50"/>
        <w:outlineLvl w:val="1"/>
        <w:rPr>
          <w:rFonts w:hint="eastAsia" w:ascii="宋体" w:hAnsi="宋体" w:eastAsia="宋体" w:cs="Times New Roman"/>
          <w:b/>
          <w:sz w:val="24"/>
        </w:rPr>
      </w:pPr>
      <w:r>
        <w:rPr>
          <w:rFonts w:hint="eastAsia" w:ascii="宋体" w:hAnsi="宋体" w:eastAsia="宋体" w:cs="Times New Roman"/>
          <w:b/>
          <w:sz w:val="24"/>
        </w:rPr>
        <w:t>数量：清单如下：</w:t>
      </w:r>
    </w:p>
    <w:p>
      <w:pPr>
        <w:keepNext w:val="0"/>
        <w:keepLines w:val="0"/>
        <w:pageBreakBefore w:val="0"/>
        <w:widowControl w:val="0"/>
        <w:numPr>
          <w:numId w:val="0"/>
        </w:numPr>
        <w:tabs>
          <w:tab w:val="left" w:pos="360"/>
        </w:tabs>
        <w:kinsoku/>
        <w:wordWrap/>
        <w:overflowPunct/>
        <w:topLinePunct w:val="0"/>
        <w:autoSpaceDE/>
        <w:autoSpaceDN/>
        <w:bidi w:val="0"/>
        <w:adjustRightInd/>
        <w:snapToGrid/>
        <w:spacing w:beforeLines="50" w:afterLines="50"/>
        <w:ind w:firstLine="482" w:firstLineChars="200"/>
        <w:textAlignment w:val="auto"/>
        <w:outlineLvl w:val="1"/>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见竞价公告</w:t>
      </w:r>
    </w:p>
    <w:p>
      <w:pPr>
        <w:tabs>
          <w:tab w:val="left" w:pos="360"/>
        </w:tabs>
        <w:spacing w:beforeLines="50" w:afterLines="50"/>
        <w:outlineLvl w:val="1"/>
        <w:rPr>
          <w:rFonts w:ascii="宋体" w:hAnsi="宋体" w:eastAsia="宋体" w:cs="Times New Roman"/>
          <w:b/>
          <w:sz w:val="24"/>
        </w:rPr>
      </w:pPr>
      <w:r>
        <w:rPr>
          <w:rFonts w:hint="eastAsia" w:ascii="宋体" w:hAnsi="宋体" w:eastAsia="宋体" w:cs="Times New Roman"/>
          <w:b/>
          <w:sz w:val="24"/>
        </w:rPr>
        <w:t>2.技术规格及有关要求</w:t>
      </w:r>
      <w:bookmarkStart w:id="4" w:name="_GoBack"/>
      <w:bookmarkEnd w:id="4"/>
    </w:p>
    <w:p>
      <w:pPr>
        <w:spacing w:beforeLines="50" w:afterLines="50"/>
        <w:rPr>
          <w:rFonts w:ascii="宋体" w:hAnsi="宋体" w:eastAsia="宋体" w:cs="Times New Roman"/>
          <w:sz w:val="24"/>
        </w:rPr>
      </w:pPr>
      <w:r>
        <w:rPr>
          <w:rFonts w:hint="eastAsia" w:ascii="宋体" w:hAnsi="宋体" w:eastAsia="宋体" w:cs="Times New Roman"/>
          <w:sz w:val="24"/>
        </w:rPr>
        <w:t>2.1总则</w:t>
      </w:r>
    </w:p>
    <w:p>
      <w:pPr>
        <w:spacing w:beforeLines="50" w:afterLines="50"/>
        <w:rPr>
          <w:rFonts w:ascii="宋体" w:hAnsi="宋体" w:eastAsia="宋体" w:cs="Times New Roman"/>
          <w:sz w:val="24"/>
        </w:rPr>
      </w:pPr>
      <w:r>
        <w:rPr>
          <w:rFonts w:hint="eastAsia" w:ascii="宋体" w:hAnsi="宋体" w:eastAsia="宋体" w:cs="Times New Roman"/>
          <w:sz w:val="24"/>
        </w:rPr>
        <w:t>2.1.1 本货物技术要求适用于张家港联合铜业有限公司电解车间的铜排和导排系统。</w:t>
      </w:r>
    </w:p>
    <w:p>
      <w:pPr>
        <w:spacing w:beforeLines="50" w:afterLines="50"/>
        <w:rPr>
          <w:rFonts w:ascii="宋体" w:hAnsi="宋体" w:eastAsia="宋体" w:cs="Times New Roman"/>
          <w:sz w:val="24"/>
        </w:rPr>
      </w:pPr>
      <w:r>
        <w:rPr>
          <w:rFonts w:hint="eastAsia" w:ascii="宋体" w:hAnsi="宋体" w:eastAsia="宋体" w:cs="Times New Roman"/>
          <w:sz w:val="24"/>
        </w:rPr>
        <w:t>2.1.2本货物技术要求提出的是最低限度的技术要求，并未对一切技术细节作出规定，也未充分引述有关标准和规范的条文，卖方提供的产品须符合本技术要求并满足相关工业标准。</w:t>
      </w:r>
    </w:p>
    <w:p>
      <w:pPr>
        <w:spacing w:beforeLines="50" w:afterLines="50"/>
        <w:rPr>
          <w:rFonts w:ascii="宋体" w:hAnsi="宋体" w:eastAsia="宋体" w:cs="Times New Roman"/>
          <w:sz w:val="24"/>
        </w:rPr>
      </w:pPr>
      <w:r>
        <w:rPr>
          <w:rFonts w:hint="eastAsia" w:ascii="宋体" w:hAnsi="宋体" w:eastAsia="宋体" w:cs="Times New Roman"/>
          <w:sz w:val="24"/>
        </w:rPr>
        <w:t>2.2使用条件</w:t>
      </w:r>
    </w:p>
    <w:p>
      <w:pPr>
        <w:spacing w:beforeLines="50" w:afterLines="50"/>
        <w:rPr>
          <w:rFonts w:ascii="宋体" w:hAnsi="宋体" w:eastAsia="宋体" w:cs="Times New Roman"/>
          <w:color w:val="FF0000"/>
          <w:sz w:val="24"/>
        </w:rPr>
      </w:pPr>
      <w:r>
        <w:rPr>
          <w:rFonts w:hint="eastAsia" w:ascii="宋体" w:hAnsi="宋体" w:eastAsia="宋体" w:cs="Times New Roman"/>
          <w:color w:val="000000"/>
          <w:sz w:val="24"/>
        </w:rPr>
        <w:t>2.2.1 供电电源</w:t>
      </w:r>
    </w:p>
    <w:p>
      <w:pPr>
        <w:spacing w:beforeLines="50" w:afterLines="50"/>
        <w:ind w:left="718" w:leftChars="342"/>
        <w:rPr>
          <w:rFonts w:ascii="宋体" w:hAnsi="宋体" w:eastAsia="宋体" w:cs="Times New Roman"/>
          <w:sz w:val="24"/>
        </w:rPr>
      </w:pPr>
      <w:r>
        <w:rPr>
          <w:rFonts w:hint="eastAsia" w:ascii="宋体" w:hAnsi="宋体" w:eastAsia="宋体" w:cs="Times New Roman"/>
          <w:sz w:val="24"/>
        </w:rPr>
        <w:t>整流系统：直流电压：</w:t>
      </w:r>
      <w:r>
        <w:rPr>
          <w:rFonts w:hint="eastAsia" w:ascii="宋体" w:hAnsi="宋体" w:eastAsia="宋体" w:cs="Times New Roman"/>
          <w:color w:val="000000"/>
          <w:sz w:val="24"/>
        </w:rPr>
        <w:t>190V</w:t>
      </w:r>
      <w:r>
        <w:rPr>
          <w:rFonts w:hint="eastAsia" w:ascii="宋体" w:hAnsi="宋体" w:eastAsia="宋体" w:cs="Times New Roman"/>
          <w:sz w:val="24"/>
        </w:rPr>
        <w:t>；</w:t>
      </w:r>
    </w:p>
    <w:p>
      <w:pPr>
        <w:spacing w:beforeLines="50" w:afterLines="50"/>
        <w:ind w:left="718" w:leftChars="342"/>
        <w:rPr>
          <w:rFonts w:ascii="宋体" w:hAnsi="宋体" w:eastAsia="宋体" w:cs="Times New Roman"/>
          <w:sz w:val="24"/>
        </w:rPr>
      </w:pPr>
      <w:r>
        <w:rPr>
          <w:rFonts w:hint="eastAsia" w:ascii="宋体" w:hAnsi="宋体" w:eastAsia="宋体" w:cs="Times New Roman"/>
          <w:sz w:val="24"/>
        </w:rPr>
        <w:t>直流电流：</w:t>
      </w:r>
      <w:r>
        <w:rPr>
          <w:rFonts w:hint="eastAsia" w:ascii="宋体" w:hAnsi="宋体" w:eastAsia="宋体" w:cs="Times New Roman"/>
          <w:color w:val="000000"/>
          <w:sz w:val="24"/>
        </w:rPr>
        <w:t>20kA</w:t>
      </w:r>
      <w:r>
        <w:rPr>
          <w:rFonts w:hint="eastAsia" w:ascii="宋体" w:hAnsi="宋体" w:eastAsia="宋体" w:cs="Times New Roman"/>
          <w:sz w:val="24"/>
        </w:rPr>
        <w:t>。</w:t>
      </w:r>
    </w:p>
    <w:p>
      <w:pPr>
        <w:spacing w:beforeLines="50" w:afterLines="50"/>
        <w:rPr>
          <w:rFonts w:ascii="宋体" w:hAnsi="宋体" w:eastAsia="宋体" w:cs="Times New Roman"/>
          <w:sz w:val="24"/>
        </w:rPr>
      </w:pPr>
      <w:r>
        <w:rPr>
          <w:rFonts w:hint="eastAsia" w:ascii="宋体" w:hAnsi="宋体" w:eastAsia="宋体" w:cs="Times New Roman"/>
          <w:sz w:val="24"/>
        </w:rPr>
        <w:t>2.2.2 安装地点及环境 ：潮湿，酸性腐蚀性气体，室内温度15～50 ℃。</w:t>
      </w:r>
    </w:p>
    <w:p>
      <w:pPr>
        <w:spacing w:beforeLines="50" w:afterLines="50"/>
        <w:rPr>
          <w:rFonts w:ascii="宋体" w:hAnsi="宋体" w:eastAsia="宋体" w:cs="Times New Roman"/>
          <w:sz w:val="24"/>
        </w:rPr>
      </w:pPr>
      <w:r>
        <w:rPr>
          <w:rFonts w:hint="eastAsia" w:ascii="宋体" w:hAnsi="宋体" w:eastAsia="宋体" w:cs="Times New Roman"/>
          <w:sz w:val="24"/>
        </w:rPr>
        <w:t>2.3技术要求</w:t>
      </w:r>
    </w:p>
    <w:p>
      <w:pPr>
        <w:spacing w:beforeLines="50" w:afterLines="50"/>
        <w:rPr>
          <w:rFonts w:ascii="宋体" w:hAnsi="宋体" w:eastAsia="宋体" w:cs="Times New Roman"/>
          <w:sz w:val="24"/>
        </w:rPr>
      </w:pPr>
      <w:r>
        <w:rPr>
          <w:rFonts w:hint="eastAsia" w:ascii="宋体" w:hAnsi="宋体" w:eastAsia="宋体" w:cs="Times New Roman"/>
          <w:sz w:val="24"/>
        </w:rPr>
        <w:t>2.3.1 本批制作好的铜排和导排必须达到T2铜（</w:t>
      </w:r>
      <w:r>
        <w:rPr>
          <w:rFonts w:hint="eastAsia" w:ascii="宋体" w:hAnsi="宋体" w:eastAsia="宋体" w:cs="Times New Roman"/>
          <w:color w:val="000000"/>
          <w:sz w:val="24"/>
        </w:rPr>
        <w:t>GB/T5231）</w:t>
      </w:r>
      <w:r>
        <w:rPr>
          <w:rFonts w:hint="eastAsia" w:ascii="宋体" w:hAnsi="宋体" w:eastAsia="宋体" w:cs="Times New Roman"/>
          <w:sz w:val="24"/>
        </w:rPr>
        <w:t xml:space="preserve">。 </w:t>
      </w:r>
    </w:p>
    <w:p>
      <w:pPr>
        <w:spacing w:beforeLines="50" w:afterLines="50"/>
        <w:rPr>
          <w:rFonts w:ascii="宋体" w:hAnsi="宋体" w:eastAsia="宋体" w:cs="Times New Roman"/>
          <w:sz w:val="24"/>
        </w:rPr>
      </w:pPr>
      <w:r>
        <w:rPr>
          <w:rFonts w:hint="eastAsia" w:ascii="宋体" w:hAnsi="宋体" w:eastAsia="宋体" w:cs="Times New Roman"/>
          <w:sz w:val="24"/>
        </w:rPr>
        <w:t>2.3.2 卖方提供的产品化学成份和硬度两项指标必须通过有资质的第三方检测机构的检验，并提供检验报告和合格证。产品需符</w:t>
      </w:r>
      <w:r>
        <w:rPr>
          <w:rFonts w:hint="eastAsia" w:ascii="宋体" w:hAnsi="宋体" w:eastAsia="宋体" w:cs="Times New Roman"/>
          <w:color w:val="000000"/>
          <w:sz w:val="24"/>
        </w:rPr>
        <w:t>合GB/T5585、GB/T5231、GB/T2529</w:t>
      </w:r>
      <w:r>
        <w:rPr>
          <w:rFonts w:hint="eastAsia" w:ascii="宋体" w:hAnsi="宋体" w:eastAsia="宋体" w:cs="Times New Roman"/>
          <w:sz w:val="24"/>
        </w:rPr>
        <w:t>标准的要求。</w:t>
      </w:r>
    </w:p>
    <w:p>
      <w:pPr>
        <w:spacing w:beforeLines="50" w:afterLines="50"/>
        <w:rPr>
          <w:rFonts w:ascii="宋体" w:hAnsi="宋体" w:eastAsia="宋体" w:cs="Times New Roman"/>
          <w:sz w:val="24"/>
        </w:rPr>
      </w:pPr>
      <w:r>
        <w:rPr>
          <w:rFonts w:hint="eastAsia" w:ascii="宋体" w:hAnsi="宋体" w:eastAsia="宋体" w:cs="Times New Roman"/>
          <w:sz w:val="24"/>
        </w:rPr>
        <w:t>2.3.3 卖方要保证产品满足买方的技术要求,卖方应保证制造过程中的所有材料均应符合本技术要求的规定。 </w:t>
      </w:r>
    </w:p>
    <w:p>
      <w:pPr>
        <w:spacing w:beforeLines="50" w:afterLines="50"/>
        <w:rPr>
          <w:rFonts w:ascii="宋体" w:hAnsi="宋体" w:eastAsia="宋体" w:cs="Times New Roman"/>
          <w:sz w:val="24"/>
        </w:rPr>
      </w:pPr>
      <w:r>
        <w:rPr>
          <w:rFonts w:hint="eastAsia" w:ascii="宋体" w:hAnsi="宋体" w:eastAsia="宋体" w:cs="Times New Roman"/>
          <w:sz w:val="24"/>
        </w:rPr>
        <w:t>2.3.4 铜排和导排(成品)的化学成份应符合下表规定（T2铜排）</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806"/>
        <w:gridCol w:w="811"/>
        <w:gridCol w:w="816"/>
        <w:gridCol w:w="816"/>
        <w:gridCol w:w="816"/>
        <w:gridCol w:w="816"/>
        <w:gridCol w:w="816"/>
        <w:gridCol w:w="816"/>
        <w:gridCol w:w="816"/>
        <w:gridCol w:w="81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元素</w:t>
            </w:r>
          </w:p>
        </w:tc>
        <w:tc>
          <w:tcPr>
            <w:tcW w:w="806" w:type="dxa"/>
            <w:vMerge w:val="restart"/>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铜+银</w:t>
            </w:r>
            <w:r>
              <w:rPr>
                <w:rFonts w:ascii="宋体" w:hAnsi="宋体" w:eastAsia="宋体" w:cs="Times New Roman"/>
                <w:sz w:val="24"/>
              </w:rPr>
              <w:t>≥</w:t>
            </w:r>
          </w:p>
        </w:tc>
        <w:tc>
          <w:tcPr>
            <w:tcW w:w="8155" w:type="dxa"/>
            <w:gridSpan w:val="10"/>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（杂质总和小于0.1）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vAlign w:val="center"/>
          </w:tcPr>
          <w:p>
            <w:pPr>
              <w:spacing w:beforeLines="50" w:afterLines="50"/>
              <w:jc w:val="center"/>
              <w:rPr>
                <w:rFonts w:ascii="宋体" w:hAnsi="宋体" w:eastAsia="宋体" w:cs="Times New Roman"/>
                <w:sz w:val="24"/>
              </w:rPr>
            </w:pPr>
          </w:p>
        </w:tc>
        <w:tc>
          <w:tcPr>
            <w:tcW w:w="806" w:type="dxa"/>
            <w:vMerge w:val="continue"/>
            <w:tcMar>
              <w:left w:w="57" w:type="dxa"/>
              <w:right w:w="57" w:type="dxa"/>
            </w:tcMar>
            <w:vAlign w:val="center"/>
          </w:tcPr>
          <w:p>
            <w:pPr>
              <w:spacing w:beforeLines="50" w:afterLines="50"/>
              <w:jc w:val="center"/>
              <w:rPr>
                <w:rFonts w:ascii="宋体" w:hAnsi="宋体" w:eastAsia="宋体" w:cs="Times New Roman"/>
                <w:sz w:val="24"/>
              </w:rPr>
            </w:pPr>
          </w:p>
        </w:tc>
        <w:tc>
          <w:tcPr>
            <w:tcW w:w="811"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砷</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锑</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铋</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铁</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铅</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锡</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镍</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锌</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硫</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7" w:type="dxa"/>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含量</w:t>
            </w:r>
          </w:p>
        </w:tc>
        <w:tc>
          <w:tcPr>
            <w:tcW w:w="80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99.9</w:t>
            </w:r>
          </w:p>
        </w:tc>
        <w:tc>
          <w:tcPr>
            <w:tcW w:w="811"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0.001</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0.004</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pPr>
              <w:spacing w:beforeLines="50" w:afterLines="50"/>
              <w:jc w:val="center"/>
              <w:rPr>
                <w:rFonts w:ascii="宋体" w:hAnsi="宋体" w:eastAsia="宋体" w:cs="Times New Roman"/>
                <w:sz w:val="24"/>
              </w:rPr>
            </w:pPr>
            <w:r>
              <w:rPr>
                <w:rFonts w:hint="eastAsia" w:ascii="宋体" w:hAnsi="宋体" w:eastAsia="宋体" w:cs="Times New Roman"/>
                <w:sz w:val="24"/>
              </w:rPr>
              <w:t>0.001</w:t>
            </w:r>
          </w:p>
        </w:tc>
      </w:tr>
    </w:tbl>
    <w:p>
      <w:pPr>
        <w:spacing w:beforeLines="50" w:afterLines="50"/>
        <w:rPr>
          <w:rFonts w:ascii="宋体" w:hAnsi="宋体" w:eastAsia="宋体" w:cs="Times New Roman"/>
          <w:color w:val="000000"/>
          <w:sz w:val="24"/>
        </w:rPr>
      </w:pPr>
      <w:r>
        <w:rPr>
          <w:rFonts w:hint="eastAsia" w:ascii="宋体" w:hAnsi="宋体" w:eastAsia="宋体" w:cs="Times New Roman"/>
          <w:sz w:val="24"/>
        </w:rPr>
        <w:t>2.3.5铜排和导排的电性能</w:t>
      </w:r>
      <w:r>
        <w:rPr>
          <w:rFonts w:hint="eastAsia" w:ascii="宋体" w:hAnsi="宋体" w:eastAsia="宋体" w:cs="Times New Roman"/>
          <w:color w:val="000000"/>
          <w:sz w:val="24"/>
        </w:rPr>
        <w:t>要求：20℃时的导电率IACS/%不小于97。</w:t>
      </w:r>
    </w:p>
    <w:p>
      <w:pPr>
        <w:spacing w:beforeLines="50" w:afterLines="50"/>
        <w:rPr>
          <w:rFonts w:ascii="宋体" w:hAnsi="宋体" w:eastAsia="宋体" w:cs="Times New Roman"/>
          <w:color w:val="000000"/>
          <w:sz w:val="24"/>
        </w:rPr>
      </w:pPr>
      <w:r>
        <w:rPr>
          <w:rFonts w:hint="eastAsia" w:ascii="宋体" w:hAnsi="宋体" w:eastAsia="宋体" w:cs="Times New Roman"/>
          <w:color w:val="000000"/>
          <w:sz w:val="24"/>
        </w:rPr>
        <w:t>2.3.6</w:t>
      </w:r>
      <w:r>
        <w:rPr>
          <w:rFonts w:hint="eastAsia" w:ascii="宋体" w:hAnsi="宋体" w:eastAsia="宋体" w:cs="Times New Roman"/>
          <w:sz w:val="24"/>
        </w:rPr>
        <w:t>铜排和导排</w:t>
      </w:r>
      <w:r>
        <w:rPr>
          <w:rFonts w:hint="eastAsia" w:ascii="宋体" w:hAnsi="宋体" w:eastAsia="宋体" w:cs="Times New Roman"/>
          <w:color w:val="000000"/>
          <w:sz w:val="24"/>
        </w:rPr>
        <w:t>的电阻率þ20Ω·mm2/m 不大于0.01777。</w:t>
      </w:r>
    </w:p>
    <w:p>
      <w:pPr>
        <w:spacing w:beforeLines="50" w:afterLines="50"/>
        <w:rPr>
          <w:rFonts w:ascii="宋体" w:hAnsi="宋体" w:eastAsia="宋体" w:cs="Times New Roman"/>
          <w:color w:val="000000"/>
          <w:sz w:val="24"/>
        </w:rPr>
      </w:pPr>
      <w:r>
        <w:rPr>
          <w:rFonts w:hint="eastAsia" w:ascii="宋体" w:hAnsi="宋体" w:eastAsia="宋体" w:cs="Times New Roman"/>
          <w:color w:val="000000"/>
          <w:sz w:val="24"/>
        </w:rPr>
        <w:t>2.3.7 状态及性能要求：1/2硬（Y2）。</w:t>
      </w:r>
    </w:p>
    <w:p>
      <w:pPr>
        <w:spacing w:beforeLines="50" w:afterLines="50"/>
        <w:rPr>
          <w:rFonts w:ascii="宋体" w:hAnsi="宋体" w:eastAsia="宋体" w:cs="Times New Roman"/>
          <w:color w:val="000000"/>
          <w:sz w:val="24"/>
        </w:rPr>
      </w:pPr>
      <w:r>
        <w:rPr>
          <w:rFonts w:hint="eastAsia" w:ascii="宋体" w:hAnsi="宋体" w:eastAsia="宋体" w:cs="Times New Roman"/>
          <w:sz w:val="24"/>
        </w:rPr>
        <w:t>2.3.8 拉伸试验结果符合国</w:t>
      </w:r>
      <w:r>
        <w:rPr>
          <w:rFonts w:hint="eastAsia" w:ascii="宋体" w:hAnsi="宋体" w:eastAsia="宋体" w:cs="Times New Roman"/>
          <w:color w:val="000000"/>
          <w:sz w:val="24"/>
        </w:rPr>
        <w:t>标GB/T2529要求，抗拉伸度Rm/MPa245-335；伸长率A11.35%≥10。</w:t>
      </w:r>
    </w:p>
    <w:p>
      <w:pPr>
        <w:spacing w:beforeLines="50" w:afterLines="50"/>
        <w:rPr>
          <w:rFonts w:ascii="宋体" w:hAnsi="宋体" w:eastAsia="宋体" w:cs="Times New Roman"/>
          <w:sz w:val="24"/>
        </w:rPr>
      </w:pPr>
      <w:r>
        <w:rPr>
          <w:rFonts w:hint="eastAsia" w:ascii="宋体" w:hAnsi="宋体" w:eastAsia="宋体" w:cs="Times New Roman"/>
          <w:color w:val="000000"/>
          <w:sz w:val="24"/>
        </w:rPr>
        <w:t>2.3.9 化学成分执行GB/T5231标准,机械性能执行GB/T2529标准</w:t>
      </w:r>
      <w:r>
        <w:rPr>
          <w:rFonts w:hint="eastAsia" w:ascii="宋体" w:hAnsi="宋体" w:eastAsia="宋体" w:cs="Times New Roman"/>
          <w:sz w:val="24"/>
        </w:rPr>
        <w:t>。</w:t>
      </w:r>
    </w:p>
    <w:p>
      <w:pPr>
        <w:spacing w:beforeLines="50" w:afterLines="50"/>
        <w:rPr>
          <w:rFonts w:ascii="宋体" w:hAnsi="宋体" w:eastAsia="宋体" w:cs="Times New Roman"/>
          <w:sz w:val="24"/>
        </w:rPr>
      </w:pPr>
      <w:r>
        <w:rPr>
          <w:rFonts w:hint="eastAsia" w:ascii="宋体" w:hAnsi="宋体" w:eastAsia="宋体" w:cs="Times New Roman"/>
          <w:sz w:val="24"/>
        </w:rPr>
        <w:t>2.3.10铜排和导排为冷加工，不许退火，表面应光洁平整，不含夹杂物、无变形和扭曲，折弯处无裂纹、折皱。</w:t>
      </w:r>
    </w:p>
    <w:p>
      <w:pPr>
        <w:spacing w:beforeLines="50" w:afterLines="50"/>
        <w:rPr>
          <w:rFonts w:ascii="宋体" w:hAnsi="宋体" w:eastAsia="宋体" w:cs="Times New Roman"/>
          <w:sz w:val="24"/>
        </w:rPr>
      </w:pPr>
      <w:r>
        <w:rPr>
          <w:rFonts w:hint="eastAsia" w:ascii="宋体" w:hAnsi="宋体" w:eastAsia="宋体" w:cs="Times New Roman"/>
          <w:sz w:val="24"/>
        </w:rPr>
        <w:t>2.3.11铜排和导排重量：卖方交货时提供磅单，买方进行复磅，如果净重量误差小于或等于</w:t>
      </w:r>
      <w:r>
        <w:rPr>
          <w:rFonts w:hint="eastAsia" w:ascii="宋体" w:hAnsi="宋体" w:eastAsia="宋体" w:cs="Times New Roman"/>
          <w:color w:val="000000"/>
          <w:sz w:val="24"/>
        </w:rPr>
        <w:t>千分之一，按卖方的磅单进行结算。如果磅单误差大于千分之一，双方则另行委托</w:t>
      </w:r>
      <w:r>
        <w:rPr>
          <w:rFonts w:hint="eastAsia" w:ascii="宋体" w:hAnsi="宋体" w:eastAsia="宋体" w:cs="Times New Roman"/>
          <w:sz w:val="24"/>
        </w:rPr>
        <w:t>第三方进行过磅。</w:t>
      </w:r>
    </w:p>
    <w:p>
      <w:pPr>
        <w:spacing w:beforeLines="50" w:afterLines="50"/>
        <w:rPr>
          <w:rFonts w:ascii="宋体" w:hAnsi="宋体" w:eastAsia="宋体" w:cs="Times New Roman"/>
          <w:sz w:val="24"/>
        </w:rPr>
      </w:pPr>
      <w:r>
        <w:rPr>
          <w:rFonts w:hint="eastAsia" w:ascii="宋体" w:hAnsi="宋体" w:eastAsia="宋体" w:cs="Times New Roman"/>
          <w:b/>
          <w:sz w:val="24"/>
        </w:rPr>
        <w:t>*</w:t>
      </w:r>
      <w:r>
        <w:rPr>
          <w:rFonts w:hint="eastAsia" w:ascii="宋体" w:hAnsi="宋体" w:eastAsia="宋体" w:cs="Times New Roman"/>
          <w:sz w:val="24"/>
        </w:rPr>
        <w:t>2.3.12:验收材质与公差:</w:t>
      </w:r>
    </w:p>
    <w:p>
      <w:pPr>
        <w:spacing w:beforeLines="50" w:afterLines="50"/>
        <w:rPr>
          <w:rFonts w:ascii="宋体" w:hAnsi="宋体" w:eastAsia="宋体" w:cs="Times New Roman"/>
          <w:sz w:val="24"/>
        </w:rPr>
      </w:pPr>
      <w:r>
        <w:rPr>
          <w:rFonts w:hint="eastAsia" w:ascii="宋体" w:hAnsi="宋体" w:eastAsia="宋体" w:cs="Times New Roman"/>
          <w:sz w:val="24"/>
        </w:rPr>
        <w:t>2.3.12.1材质验收以买方质量部门的化验、实验数据为准，如卖方对买方的数据有疑议，双方协商一致后，可委托第三方检测机构进行检验。买方将对每批次铜排予以取样分析。质量不合要求的，卖方应无条件予以更换并承担延迟交货责任。</w:t>
      </w:r>
    </w:p>
    <w:p>
      <w:pPr>
        <w:spacing w:beforeLines="50" w:afterLines="50"/>
        <w:rPr>
          <w:rFonts w:ascii="宋体" w:hAnsi="宋体" w:eastAsia="宋体" w:cs="Times New Roman"/>
          <w:sz w:val="24"/>
        </w:rPr>
      </w:pPr>
      <w:r>
        <w:rPr>
          <w:rFonts w:hint="eastAsia" w:ascii="宋体" w:hAnsi="宋体" w:eastAsia="宋体" w:cs="Times New Roman"/>
          <w:sz w:val="24"/>
        </w:rPr>
        <w:t>2.3.12.2铜排、导排的长度、宽度及厚度不允许出现负误差，具体要求如下：</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1）厚度允许偏差：＋0.36mm～0mm；</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2）宽度允许偏差：＋4 mm～0mm；</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3）长度允许偏差：＋10mm～0mm；</w:t>
      </w:r>
    </w:p>
    <w:p>
      <w:pPr>
        <w:spacing w:beforeLines="50" w:afterLines="50"/>
        <w:ind w:left="899" w:leftChars="428"/>
        <w:rPr>
          <w:rFonts w:ascii="宋体" w:hAnsi="宋体" w:eastAsia="宋体" w:cs="Times New Roman"/>
          <w:color w:val="000000"/>
          <w:sz w:val="24"/>
        </w:rPr>
      </w:pPr>
      <w:r>
        <w:rPr>
          <w:rFonts w:hint="eastAsia" w:ascii="宋体" w:hAnsi="宋体" w:eastAsia="宋体" w:cs="Times New Roman"/>
          <w:color w:val="000000"/>
          <w:sz w:val="24"/>
        </w:rPr>
        <w:t>4）铜排折弯处加工后的厚度按图纸制作。</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5）铜排和导排制作要求为整体，不得带裂缝及焊缝现象。</w:t>
      </w:r>
    </w:p>
    <w:p>
      <w:pPr>
        <w:spacing w:beforeLines="50" w:afterLines="50"/>
        <w:rPr>
          <w:rFonts w:ascii="宋体" w:hAnsi="宋体" w:eastAsia="宋体" w:cs="Times New Roman"/>
          <w:sz w:val="24"/>
        </w:rPr>
      </w:pPr>
      <w:r>
        <w:rPr>
          <w:rFonts w:hint="eastAsia" w:ascii="宋体" w:hAnsi="宋体" w:eastAsia="宋体" w:cs="Times New Roman"/>
          <w:sz w:val="24"/>
        </w:rPr>
        <w:t>2.3.12.3短路铜棒的长度及厚度不允许出现负误差，具体要求如下：</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1）厚度允许偏差：＋1mm～0mm；</w:t>
      </w:r>
    </w:p>
    <w:p>
      <w:pPr>
        <w:spacing w:beforeLines="50" w:afterLines="50"/>
        <w:ind w:left="899" w:leftChars="428"/>
        <w:rPr>
          <w:rFonts w:ascii="宋体" w:hAnsi="宋体" w:eastAsia="宋体" w:cs="Times New Roman"/>
          <w:sz w:val="24"/>
        </w:rPr>
      </w:pPr>
      <w:r>
        <w:rPr>
          <w:rFonts w:hint="eastAsia" w:ascii="宋体" w:hAnsi="宋体" w:eastAsia="宋体" w:cs="Times New Roman"/>
          <w:sz w:val="24"/>
        </w:rPr>
        <w:t>2）长度允许偏差：＋5mm～0mm；</w:t>
      </w:r>
    </w:p>
    <w:p>
      <w:pPr>
        <w:spacing w:beforeLines="50" w:afterLines="50"/>
        <w:rPr>
          <w:rFonts w:ascii="宋体" w:hAnsi="宋体" w:eastAsia="宋体" w:cs="Times New Roman"/>
          <w:b/>
          <w:sz w:val="24"/>
        </w:rPr>
      </w:pPr>
    </w:p>
    <w:p>
      <w:pPr>
        <w:tabs>
          <w:tab w:val="left" w:pos="360"/>
        </w:tabs>
        <w:spacing w:beforeLines="50" w:afterLines="50"/>
        <w:outlineLvl w:val="1"/>
        <w:rPr>
          <w:rFonts w:ascii="宋体" w:hAnsi="宋体" w:eastAsia="宋体" w:cs="Times New Roman"/>
          <w:b/>
          <w:sz w:val="24"/>
        </w:rPr>
      </w:pPr>
      <w:bookmarkStart w:id="0" w:name="_Toc335636399"/>
      <w:r>
        <w:rPr>
          <w:rFonts w:hint="eastAsia" w:ascii="宋体" w:hAnsi="宋体" w:eastAsia="宋体" w:cs="Times New Roman"/>
          <w:b/>
          <w:sz w:val="24"/>
        </w:rPr>
        <w:t>3.执行的技术标准和规范</w:t>
      </w:r>
      <w:bookmarkEnd w:id="0"/>
    </w:p>
    <w:p>
      <w:pPr>
        <w:spacing w:beforeLines="50" w:afterLines="50"/>
        <w:ind w:right="332" w:rightChars="158"/>
        <w:rPr>
          <w:rFonts w:ascii="宋体" w:hAnsi="宋体" w:eastAsia="宋体" w:cs="Times New Roman"/>
          <w:sz w:val="24"/>
        </w:rPr>
      </w:pPr>
      <w:r>
        <w:rPr>
          <w:rFonts w:hint="eastAsia" w:ascii="宋体" w:hAnsi="宋体" w:eastAsia="宋体" w:cs="Times New Roman"/>
          <w:sz w:val="24"/>
        </w:rPr>
        <w:t>槽间导电棒和铜排的材质、制造、包装、运输、储存、验收过程中执行并符合下列(不仅限于)现行最新的国家有关标准、规范和规定。</w:t>
      </w:r>
    </w:p>
    <w:p>
      <w:pPr>
        <w:spacing w:beforeLines="50" w:afterLines="50"/>
        <w:rPr>
          <w:rFonts w:ascii="宋体" w:hAnsi="宋体" w:eastAsia="宋体" w:cs="Times New Roman"/>
          <w:sz w:val="24"/>
        </w:rPr>
      </w:pPr>
      <w:r>
        <w:rPr>
          <w:rFonts w:hint="eastAsia" w:ascii="宋体" w:hAnsi="宋体" w:eastAsia="宋体" w:cs="Times New Roman"/>
          <w:sz w:val="24"/>
        </w:rPr>
        <w:t>GB/T5585       《电工铜、铝及其合金母线》</w:t>
      </w:r>
    </w:p>
    <w:p>
      <w:pPr>
        <w:spacing w:beforeLines="50" w:afterLines="50"/>
        <w:rPr>
          <w:rFonts w:ascii="宋体" w:hAnsi="宋体" w:eastAsia="宋体" w:cs="Times New Roman"/>
          <w:sz w:val="24"/>
        </w:rPr>
      </w:pPr>
      <w:r>
        <w:rPr>
          <w:rFonts w:hint="eastAsia" w:ascii="宋体" w:hAnsi="宋体" w:eastAsia="宋体" w:cs="Times New Roman"/>
          <w:color w:val="000000"/>
          <w:sz w:val="24"/>
        </w:rPr>
        <w:t>GB/T5231       《</w:t>
      </w:r>
      <w:r>
        <w:rPr>
          <w:rFonts w:hint="eastAsia" w:ascii="宋体" w:hAnsi="宋体" w:eastAsia="宋体" w:cs="Times New Roman"/>
          <w:sz w:val="24"/>
        </w:rPr>
        <w:t xml:space="preserve">加工铜及铜合金牌号和化学成分》 </w:t>
      </w:r>
    </w:p>
    <w:p>
      <w:pPr>
        <w:spacing w:beforeLines="50" w:afterLines="50"/>
        <w:rPr>
          <w:rFonts w:ascii="宋体" w:hAnsi="宋体" w:eastAsia="宋体" w:cs="Times New Roman"/>
          <w:sz w:val="24"/>
        </w:rPr>
      </w:pPr>
      <w:r>
        <w:rPr>
          <w:rFonts w:hint="eastAsia" w:ascii="宋体" w:hAnsi="宋体" w:eastAsia="宋体" w:cs="Times New Roman"/>
          <w:sz w:val="24"/>
        </w:rPr>
        <w:t>GB/T2529       《导电用铜板和条》</w:t>
      </w:r>
    </w:p>
    <w:p>
      <w:pPr>
        <w:spacing w:beforeLines="50" w:afterLines="50"/>
        <w:rPr>
          <w:rFonts w:ascii="宋体" w:hAnsi="宋体" w:eastAsia="宋体" w:cs="Times New Roman"/>
          <w:sz w:val="24"/>
        </w:rPr>
      </w:pPr>
      <w:r>
        <w:rPr>
          <w:rFonts w:hint="eastAsia" w:ascii="宋体" w:hAnsi="宋体" w:eastAsia="宋体" w:cs="Times New Roman"/>
          <w:sz w:val="24"/>
        </w:rPr>
        <w:t>GB/T3670         《铜及铜合金焊条》</w:t>
      </w:r>
    </w:p>
    <w:p>
      <w:pPr>
        <w:spacing w:beforeLines="50" w:afterLines="50"/>
        <w:rPr>
          <w:rFonts w:ascii="宋体" w:hAnsi="宋体" w:eastAsia="宋体" w:cs="Times New Roman"/>
          <w:sz w:val="24"/>
        </w:rPr>
      </w:pPr>
      <w:r>
        <w:rPr>
          <w:rFonts w:hint="eastAsia" w:ascii="宋体" w:hAnsi="宋体" w:eastAsia="宋体" w:cs="Times New Roman"/>
          <w:sz w:val="24"/>
        </w:rPr>
        <w:t>GB/T2040       《铜及铜合金板材》</w:t>
      </w:r>
    </w:p>
    <w:p>
      <w:pPr>
        <w:spacing w:beforeLines="50" w:afterLines="50"/>
        <w:rPr>
          <w:rFonts w:ascii="宋体" w:hAnsi="宋体" w:eastAsia="宋体" w:cs="Times New Roman"/>
          <w:sz w:val="24"/>
        </w:rPr>
      </w:pPr>
      <w:r>
        <w:rPr>
          <w:rFonts w:hint="eastAsia" w:ascii="宋体" w:hAnsi="宋体" w:eastAsia="宋体" w:cs="Times New Roman"/>
          <w:sz w:val="24"/>
        </w:rPr>
        <w:t>GB/T2059       《铜及铜合金带材》</w:t>
      </w:r>
    </w:p>
    <w:p>
      <w:pPr>
        <w:pStyle w:val="2"/>
        <w:widowControl/>
        <w:shd w:val="clear" w:color="auto" w:fill="FFFFFF"/>
        <w:spacing w:beforeLines="50" w:afterLines="50"/>
        <w:rPr>
          <w:rFonts w:ascii="宋体" w:hAnsi="宋体" w:eastAsia="宋体"/>
          <w:kern w:val="2"/>
          <w:sz w:val="24"/>
          <w:szCs w:val="22"/>
        </w:rPr>
      </w:pPr>
      <w:r>
        <w:rPr>
          <w:rFonts w:hint="eastAsia" w:ascii="宋体" w:hAnsi="宋体" w:eastAsia="宋体"/>
          <w:kern w:val="2"/>
          <w:sz w:val="24"/>
          <w:szCs w:val="22"/>
        </w:rPr>
        <w:t>GB 50149      《电气装置安装工程母线装置施工及验收规范》</w:t>
      </w:r>
    </w:p>
    <w:p>
      <w:pPr>
        <w:spacing w:beforeLines="50" w:afterLines="50"/>
        <w:rPr>
          <w:rFonts w:ascii="宋体" w:hAnsi="宋体" w:eastAsia="宋体" w:cs="Times New Roman"/>
          <w:sz w:val="24"/>
        </w:rPr>
      </w:pPr>
      <w:r>
        <w:rPr>
          <w:rFonts w:hint="eastAsia" w:ascii="宋体" w:hAnsi="宋体" w:eastAsia="宋体" w:cs="Times New Roman"/>
          <w:sz w:val="24"/>
        </w:rPr>
        <w:t>GB/T1184       《形状和位置公差未注公差值 》</w:t>
      </w:r>
    </w:p>
    <w:p>
      <w:pPr>
        <w:spacing w:beforeLines="50" w:afterLines="50"/>
        <w:rPr>
          <w:rFonts w:ascii="宋体" w:hAnsi="宋体" w:eastAsia="宋体" w:cs="Times New Roman"/>
          <w:sz w:val="24"/>
        </w:rPr>
      </w:pPr>
      <w:r>
        <w:rPr>
          <w:rFonts w:hint="eastAsia" w:ascii="宋体" w:hAnsi="宋体" w:eastAsia="宋体" w:cs="Times New Roman"/>
          <w:sz w:val="24"/>
        </w:rPr>
        <w:t>GB/T191          《包装储运图示标志》</w:t>
      </w:r>
    </w:p>
    <w:p>
      <w:pPr>
        <w:tabs>
          <w:tab w:val="left" w:pos="360"/>
        </w:tabs>
        <w:spacing w:beforeLines="50" w:afterLines="50"/>
        <w:outlineLvl w:val="1"/>
        <w:rPr>
          <w:rFonts w:ascii="宋体" w:hAnsi="宋体" w:eastAsia="宋体" w:cs="Times New Roman"/>
          <w:b/>
          <w:sz w:val="24"/>
        </w:rPr>
      </w:pPr>
      <w:bookmarkStart w:id="1" w:name="_Toc335636401"/>
      <w:r>
        <w:rPr>
          <w:rFonts w:hint="eastAsia" w:ascii="宋体" w:hAnsi="宋体" w:eastAsia="宋体" w:cs="Times New Roman"/>
          <w:b/>
          <w:sz w:val="24"/>
        </w:rPr>
        <w:t>4.技术资料</w:t>
      </w:r>
      <w:bookmarkEnd w:id="1"/>
    </w:p>
    <w:p>
      <w:pPr>
        <w:spacing w:beforeLines="50" w:afterLines="50"/>
        <w:rPr>
          <w:rFonts w:ascii="宋体" w:hAnsi="宋体" w:eastAsia="宋体" w:cs="Times New Roman"/>
          <w:sz w:val="24"/>
        </w:rPr>
      </w:pPr>
      <w:r>
        <w:rPr>
          <w:rFonts w:hint="eastAsia" w:ascii="宋体" w:hAnsi="宋体" w:eastAsia="宋体" w:cs="Times New Roman"/>
          <w:b/>
          <w:sz w:val="24"/>
        </w:rPr>
        <w:t>4.1</w:t>
      </w:r>
      <w:r>
        <w:rPr>
          <w:rFonts w:ascii="宋体" w:hAnsi="宋体" w:eastAsia="宋体" w:cs="Times New Roman"/>
          <w:sz w:val="24"/>
        </w:rPr>
        <w:t xml:space="preserve"> </w:t>
      </w:r>
      <w:r>
        <w:rPr>
          <w:rFonts w:hint="eastAsia" w:ascii="宋体" w:hAnsi="宋体" w:eastAsia="宋体" w:cs="Times New Roman"/>
          <w:sz w:val="24"/>
        </w:rPr>
        <w:t>随投标书提供的技术资料：</w:t>
      </w:r>
    </w:p>
    <w:p>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（1）产品的主要材质和技术经济指标；</w:t>
      </w:r>
    </w:p>
    <w:p>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2</w:t>
      </w:r>
      <w:r>
        <w:rPr>
          <w:rFonts w:hint="eastAsia" w:ascii="宋体" w:hAnsi="宋体" w:eastAsia="宋体" w:cs="Times New Roman"/>
          <w:kern w:val="0"/>
          <w:sz w:val="24"/>
          <w:lang w:val="zh-CN"/>
        </w:rPr>
        <w:t>）产品的制造方案；</w:t>
      </w:r>
    </w:p>
    <w:p>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3</w:t>
      </w:r>
      <w:r>
        <w:rPr>
          <w:rFonts w:hint="eastAsia" w:ascii="宋体" w:hAnsi="宋体" w:eastAsia="宋体" w:cs="Times New Roman"/>
          <w:kern w:val="0"/>
          <w:sz w:val="24"/>
          <w:lang w:val="zh-CN"/>
        </w:rPr>
        <w:t>）产品与本技术规定的偏离；</w:t>
      </w:r>
    </w:p>
    <w:p>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4</w:t>
      </w:r>
      <w:r>
        <w:rPr>
          <w:rFonts w:hint="eastAsia" w:ascii="宋体" w:hAnsi="宋体" w:eastAsia="宋体" w:cs="Times New Roman"/>
          <w:kern w:val="0"/>
          <w:sz w:val="24"/>
          <w:lang w:val="zh-CN"/>
        </w:rPr>
        <w:t>）产品的型式试验和检验报告；</w:t>
      </w:r>
    </w:p>
    <w:p>
      <w:pPr>
        <w:spacing w:beforeLines="50" w:afterLines="50"/>
        <w:rPr>
          <w:rFonts w:ascii="宋体" w:hAnsi="宋体" w:eastAsia="宋体" w:cs="Times New Roman"/>
          <w:sz w:val="24"/>
        </w:rPr>
      </w:pPr>
      <w:r>
        <w:rPr>
          <w:rFonts w:hint="eastAsia" w:ascii="宋体" w:hAnsi="宋体" w:eastAsia="宋体" w:cs="Times New Roman"/>
          <w:b/>
          <w:sz w:val="24"/>
        </w:rPr>
        <w:t>4.2</w:t>
      </w:r>
      <w:r>
        <w:rPr>
          <w:rFonts w:hint="eastAsia" w:ascii="宋体" w:hAnsi="宋体" w:eastAsia="宋体" w:cs="Times New Roman"/>
          <w:sz w:val="24"/>
        </w:rPr>
        <w:t>合同生效后卖方提交的技术资料</w:t>
      </w:r>
    </w:p>
    <w:p>
      <w:pPr>
        <w:spacing w:beforeLines="50" w:afterLines="50"/>
        <w:ind w:firstLine="480" w:firstLineChars="200"/>
        <w:rPr>
          <w:rFonts w:ascii="Calibri" w:hAnsi="Calibri" w:eastAsia="宋体" w:cs="Times New Roman"/>
          <w:lang w:val="zh-CN"/>
        </w:rPr>
      </w:pPr>
      <w:r>
        <w:rPr>
          <w:rFonts w:hint="eastAsia" w:ascii="宋体" w:hAnsi="宋体" w:eastAsia="宋体" w:cs="Times New Roman"/>
          <w:sz w:val="24"/>
        </w:rPr>
        <w:t>合同生效后卖方提交的技术资料除双方约定的份数外均向买方提供一式4份，具体交付时间除特殊规定外，其它经双方协商后，在签订合同时确定。</w:t>
      </w:r>
    </w:p>
    <w:p>
      <w:pPr>
        <w:tabs>
          <w:tab w:val="left" w:pos="360"/>
        </w:tabs>
        <w:spacing w:beforeLines="50" w:afterLines="50"/>
        <w:outlineLvl w:val="1"/>
        <w:rPr>
          <w:rFonts w:ascii="宋体" w:hAnsi="宋体" w:eastAsia="宋体" w:cs="Times New Roman"/>
          <w:b/>
          <w:sz w:val="24"/>
        </w:rPr>
      </w:pPr>
      <w:bookmarkStart w:id="2" w:name="_Toc335636402"/>
      <w:r>
        <w:rPr>
          <w:rFonts w:hint="eastAsia" w:ascii="宋体" w:hAnsi="宋体" w:eastAsia="宋体" w:cs="Times New Roman"/>
          <w:b/>
          <w:sz w:val="24"/>
        </w:rPr>
        <w:t>5.卖方的责任</w:t>
      </w:r>
      <w:bookmarkEnd w:id="2"/>
    </w:p>
    <w:p>
      <w:pPr>
        <w:autoSpaceDE w:val="0"/>
        <w:autoSpaceDN w:val="0"/>
        <w:adjustRightInd w:val="0"/>
        <w:spacing w:beforeLines="50" w:afterLines="50"/>
        <w:ind w:left="472" w:hanging="472" w:hangingChars="196"/>
        <w:rPr>
          <w:rFonts w:ascii="宋体" w:hAnsi="宋体" w:eastAsia="宋体" w:cs="Times New Roman"/>
          <w:sz w:val="24"/>
        </w:rPr>
      </w:pPr>
      <w:r>
        <w:rPr>
          <w:rFonts w:hint="eastAsia" w:ascii="宋体" w:hAnsi="宋体" w:eastAsia="宋体" w:cs="Times New Roman"/>
          <w:b/>
          <w:sz w:val="24"/>
        </w:rPr>
        <w:t>5.1</w:t>
      </w:r>
      <w:r>
        <w:rPr>
          <w:rFonts w:hint="eastAsia" w:ascii="宋体" w:hAnsi="宋体" w:eastAsia="宋体" w:cs="Times New Roman"/>
          <w:sz w:val="24"/>
        </w:rPr>
        <w:t xml:space="preserve"> 卖方对投标范围内货物的设计、制造、技术服务、性能考核及货物的系统性、完整性、先进性、可靠性、安全性负责。</w:t>
      </w:r>
    </w:p>
    <w:p>
      <w:pPr>
        <w:autoSpaceDE w:val="0"/>
        <w:autoSpaceDN w:val="0"/>
        <w:adjustRightInd w:val="0"/>
        <w:spacing w:beforeLines="50" w:afterLines="50"/>
        <w:ind w:left="472" w:hanging="472" w:hangingChars="196"/>
        <w:rPr>
          <w:rFonts w:ascii="宋体" w:hAnsi="宋体" w:eastAsia="宋体" w:cs="Times New Roman"/>
          <w:b/>
          <w:sz w:val="24"/>
          <w:lang w:val="zh-CN"/>
        </w:rPr>
      </w:pPr>
      <w:r>
        <w:rPr>
          <w:rFonts w:hint="eastAsia" w:ascii="宋体" w:hAnsi="宋体" w:eastAsia="宋体" w:cs="Times New Roman"/>
          <w:b/>
          <w:sz w:val="24"/>
          <w:lang w:val="zh-CN"/>
        </w:rPr>
        <w:t>5</w:t>
      </w:r>
      <w:r>
        <w:rPr>
          <w:rFonts w:ascii="宋体" w:hAnsi="宋体" w:eastAsia="宋体" w:cs="Times New Roman"/>
          <w:b/>
          <w:sz w:val="24"/>
          <w:lang w:val="zh-CN"/>
        </w:rPr>
        <w:t>.</w:t>
      </w:r>
      <w:r>
        <w:rPr>
          <w:rFonts w:hint="eastAsia" w:ascii="宋体" w:hAnsi="宋体" w:eastAsia="宋体" w:cs="Times New Roman"/>
          <w:b/>
          <w:sz w:val="24"/>
          <w:lang w:val="zh-CN"/>
        </w:rPr>
        <w:t>2</w:t>
      </w:r>
      <w:r>
        <w:rPr>
          <w:rFonts w:hint="eastAsia" w:ascii="宋体" w:hAnsi="宋体" w:eastAsia="宋体" w:cs="Times New Roman"/>
          <w:sz w:val="24"/>
          <w:lang w:val="zh-CN"/>
        </w:rPr>
        <w:t xml:space="preserve"> 卖方提供的货物的材料，必须按现行国家、行业、企业标准或规定的要求进行检验和试验，并提供产品合格证。如有必要时，卖方应负责向买方提供并出示全部图纸资料、检验用的工具装备、有关国标、部标和经认可的制造厂标准等。</w:t>
      </w:r>
    </w:p>
    <w:p>
      <w:pPr>
        <w:tabs>
          <w:tab w:val="left" w:pos="360"/>
          <w:tab w:val="left" w:pos="2610"/>
        </w:tabs>
        <w:spacing w:beforeLines="50" w:afterLines="50"/>
        <w:outlineLvl w:val="1"/>
        <w:rPr>
          <w:rFonts w:ascii="宋体" w:hAnsi="宋体" w:eastAsia="宋体" w:cs="Times New Roman"/>
          <w:b/>
          <w:sz w:val="24"/>
        </w:rPr>
      </w:pPr>
      <w:bookmarkStart w:id="3" w:name="_Toc335636403"/>
      <w:r>
        <w:rPr>
          <w:rFonts w:hint="eastAsia" w:ascii="宋体" w:hAnsi="宋体" w:eastAsia="宋体" w:cs="Times New Roman"/>
          <w:b/>
          <w:sz w:val="24"/>
        </w:rPr>
        <w:t>6.技术服务</w:t>
      </w:r>
      <w:bookmarkEnd w:id="3"/>
    </w:p>
    <w:p>
      <w:pPr>
        <w:autoSpaceDE w:val="0"/>
        <w:autoSpaceDN w:val="0"/>
        <w:adjustRightInd w:val="0"/>
        <w:spacing w:beforeLines="50" w:afterLines="50"/>
        <w:ind w:left="472" w:hanging="472" w:hangingChars="196"/>
        <w:rPr>
          <w:rFonts w:ascii="宋体" w:hAnsi="宋体" w:eastAsia="宋体" w:cs="Times New Roman"/>
          <w:sz w:val="24"/>
        </w:rPr>
      </w:pPr>
      <w:r>
        <w:rPr>
          <w:rFonts w:hint="eastAsia" w:ascii="宋体" w:hAnsi="宋体" w:eastAsia="宋体" w:cs="Times New Roman"/>
          <w:b/>
          <w:sz w:val="24"/>
          <w:lang w:val="zh-CN"/>
        </w:rPr>
        <w:t>6.</w:t>
      </w:r>
      <w:r>
        <w:rPr>
          <w:rFonts w:ascii="宋体" w:hAnsi="宋体" w:eastAsia="宋体" w:cs="Times New Roman"/>
          <w:b/>
          <w:sz w:val="24"/>
          <w:lang w:val="zh-CN"/>
        </w:rPr>
        <w:t>1</w:t>
      </w:r>
      <w:r>
        <w:rPr>
          <w:rFonts w:ascii="宋体" w:hAnsi="宋体" w:eastAsia="宋体" w:cs="Times New Roman"/>
          <w:sz w:val="24"/>
          <w:lang w:val="zh-CN"/>
        </w:rPr>
        <w:t xml:space="preserve"> </w:t>
      </w:r>
      <w:r>
        <w:rPr>
          <w:rFonts w:hint="eastAsia" w:ascii="宋体" w:hAnsi="宋体" w:eastAsia="宋体" w:cs="Times New Roman"/>
          <w:sz w:val="24"/>
          <w:lang w:val="zh-CN"/>
        </w:rPr>
        <w:t>技术服务将作为供货内容的一部分，包括安装指导、调试、试生产验收、培</w:t>
      </w:r>
      <w:r>
        <w:rPr>
          <w:rFonts w:hint="eastAsia" w:ascii="宋体" w:hAnsi="宋体" w:eastAsia="宋体" w:cs="Times New Roman"/>
          <w:sz w:val="24"/>
        </w:rPr>
        <w:t>训买方技术人员和其他技术服务。</w:t>
      </w:r>
    </w:p>
    <w:p>
      <w:pPr>
        <w:autoSpaceDE w:val="0"/>
        <w:autoSpaceDN w:val="0"/>
        <w:adjustRightInd w:val="0"/>
        <w:spacing w:beforeLines="50" w:afterLines="50"/>
        <w:ind w:left="472" w:hanging="472" w:hangingChars="196"/>
        <w:rPr>
          <w:rFonts w:ascii="宋体" w:hAnsi="宋体" w:eastAsia="宋体" w:cs="Times New Roman"/>
          <w:sz w:val="24"/>
          <w:lang w:val="zh-CN"/>
        </w:rPr>
      </w:pPr>
      <w:r>
        <w:rPr>
          <w:rFonts w:hint="eastAsia" w:ascii="宋体" w:hAnsi="宋体" w:eastAsia="宋体" w:cs="Times New Roman"/>
          <w:b/>
          <w:sz w:val="24"/>
          <w:lang w:val="zh-CN"/>
        </w:rPr>
        <w:t>6.</w:t>
      </w:r>
      <w:r>
        <w:rPr>
          <w:rFonts w:ascii="宋体" w:hAnsi="宋体" w:eastAsia="宋体" w:cs="Times New Roman"/>
          <w:b/>
          <w:sz w:val="24"/>
          <w:lang w:val="zh-CN"/>
        </w:rPr>
        <w:t xml:space="preserve">2 </w:t>
      </w:r>
      <w:r>
        <w:rPr>
          <w:rFonts w:hint="eastAsia" w:ascii="宋体" w:hAnsi="宋体" w:eastAsia="宋体" w:cs="Times New Roman"/>
          <w:sz w:val="24"/>
          <w:lang w:val="zh-CN"/>
        </w:rPr>
        <w:t>卖方须在投标时提供技术服务的详细内容和详细报价。卖方应在投标文件中列出安装指导、调试、验收、培训等技术服务费用，价格计入投标总价。</w:t>
      </w:r>
    </w:p>
    <w:p>
      <w:pPr>
        <w:autoSpaceDE w:val="0"/>
        <w:autoSpaceDN w:val="0"/>
        <w:adjustRightInd w:val="0"/>
        <w:spacing w:beforeLines="50" w:afterLines="50"/>
        <w:ind w:left="472" w:hanging="472" w:hangingChars="196"/>
        <w:rPr>
          <w:rFonts w:ascii="宋体" w:hAnsi="宋体" w:eastAsia="宋体" w:cs="Times New Roman"/>
          <w:sz w:val="24"/>
          <w:lang w:val="zh-CN"/>
        </w:rPr>
      </w:pPr>
      <w:r>
        <w:rPr>
          <w:rFonts w:hint="eastAsia" w:ascii="宋体" w:hAnsi="宋体" w:eastAsia="宋体" w:cs="Times New Roman"/>
          <w:b/>
          <w:sz w:val="24"/>
          <w:lang w:val="zh-CN"/>
        </w:rPr>
        <w:t>6.</w:t>
      </w:r>
      <w:r>
        <w:rPr>
          <w:rFonts w:ascii="宋体" w:hAnsi="宋体" w:eastAsia="宋体" w:cs="Times New Roman"/>
          <w:b/>
          <w:sz w:val="24"/>
          <w:lang w:val="zh-CN"/>
        </w:rPr>
        <w:t xml:space="preserve">3 </w:t>
      </w:r>
      <w:r>
        <w:rPr>
          <w:rFonts w:hint="eastAsia" w:ascii="宋体" w:hAnsi="宋体" w:eastAsia="宋体" w:cs="Times New Roman"/>
          <w:sz w:val="24"/>
          <w:lang w:val="zh-CN"/>
        </w:rPr>
        <w:t>安装指导、调试、验收和培训</w:t>
      </w:r>
    </w:p>
    <w:p>
      <w:pPr>
        <w:autoSpaceDE w:val="0"/>
        <w:autoSpaceDN w:val="0"/>
        <w:adjustRightInd w:val="0"/>
        <w:spacing w:beforeLines="50" w:afterLines="50"/>
        <w:ind w:left="470" w:leftChars="224"/>
        <w:rPr>
          <w:rFonts w:ascii="宋体" w:hAnsi="宋体" w:eastAsia="宋体" w:cs="Times New Roman"/>
          <w:sz w:val="24"/>
          <w:lang w:val="zh-CN"/>
        </w:rPr>
      </w:pPr>
      <w:r>
        <w:rPr>
          <w:rFonts w:hint="eastAsia" w:ascii="宋体" w:hAnsi="宋体" w:eastAsia="宋体" w:cs="Times New Roman"/>
          <w:sz w:val="24"/>
          <w:lang w:val="zh-CN"/>
        </w:rPr>
        <w:t>卖方根据买方的要求，派出合格的专业人员在买方的现场对货物进行安装指导和调试、验收以及对买方有关人员进行维修和操作的技术培训。</w:t>
      </w:r>
    </w:p>
    <w:p>
      <w:pPr>
        <w:spacing w:beforeLines="50" w:afterLines="50"/>
        <w:rPr>
          <w:sz w:val="24"/>
        </w:rPr>
      </w:pPr>
    </w:p>
    <w:sectPr>
      <w:pgSz w:w="11906" w:h="16838"/>
      <w:pgMar w:top="1134" w:right="1247" w:bottom="113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D1F9B"/>
    <w:multiLevelType w:val="singleLevel"/>
    <w:tmpl w:val="F20D1F9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hMWQ2Y2U2OWMxMjc0YjQ4NzgzNGY5OTQ0ODVlN2MifQ=="/>
  </w:docVars>
  <w:rsids>
    <w:rsidRoot w:val="005504C0"/>
    <w:rsid w:val="00062F96"/>
    <w:rsid w:val="000747BD"/>
    <w:rsid w:val="00075231"/>
    <w:rsid w:val="000A20B2"/>
    <w:rsid w:val="000B59AF"/>
    <w:rsid w:val="000E12C2"/>
    <w:rsid w:val="00120AC1"/>
    <w:rsid w:val="00124F51"/>
    <w:rsid w:val="00132908"/>
    <w:rsid w:val="00162D2D"/>
    <w:rsid w:val="00192DE9"/>
    <w:rsid w:val="001D2DB6"/>
    <w:rsid w:val="001D3F26"/>
    <w:rsid w:val="001D4E06"/>
    <w:rsid w:val="001E7A62"/>
    <w:rsid w:val="00225D2C"/>
    <w:rsid w:val="00227896"/>
    <w:rsid w:val="00231FDC"/>
    <w:rsid w:val="00237723"/>
    <w:rsid w:val="00280E9B"/>
    <w:rsid w:val="00290F1F"/>
    <w:rsid w:val="002E7B1A"/>
    <w:rsid w:val="003258E9"/>
    <w:rsid w:val="0035329F"/>
    <w:rsid w:val="00357C25"/>
    <w:rsid w:val="003601AC"/>
    <w:rsid w:val="00360F87"/>
    <w:rsid w:val="00364639"/>
    <w:rsid w:val="003659D3"/>
    <w:rsid w:val="00394557"/>
    <w:rsid w:val="003D70AF"/>
    <w:rsid w:val="003F6131"/>
    <w:rsid w:val="00403699"/>
    <w:rsid w:val="0040642C"/>
    <w:rsid w:val="0045683F"/>
    <w:rsid w:val="004E3463"/>
    <w:rsid w:val="004F7ACC"/>
    <w:rsid w:val="005303FA"/>
    <w:rsid w:val="005504C0"/>
    <w:rsid w:val="005D6484"/>
    <w:rsid w:val="005F117A"/>
    <w:rsid w:val="0063603F"/>
    <w:rsid w:val="006B4DDD"/>
    <w:rsid w:val="006D12C6"/>
    <w:rsid w:val="006D7DED"/>
    <w:rsid w:val="007A64A8"/>
    <w:rsid w:val="007B3036"/>
    <w:rsid w:val="007B5889"/>
    <w:rsid w:val="007F216D"/>
    <w:rsid w:val="0083604D"/>
    <w:rsid w:val="00861227"/>
    <w:rsid w:val="008C2A56"/>
    <w:rsid w:val="008C2C30"/>
    <w:rsid w:val="008F03FD"/>
    <w:rsid w:val="008F598D"/>
    <w:rsid w:val="00907F47"/>
    <w:rsid w:val="0092711E"/>
    <w:rsid w:val="0093637F"/>
    <w:rsid w:val="009C254E"/>
    <w:rsid w:val="009D19EC"/>
    <w:rsid w:val="009D2426"/>
    <w:rsid w:val="009F324F"/>
    <w:rsid w:val="00A0776E"/>
    <w:rsid w:val="00A15228"/>
    <w:rsid w:val="00A549AD"/>
    <w:rsid w:val="00A73FC0"/>
    <w:rsid w:val="00A96D5D"/>
    <w:rsid w:val="00AA5DF2"/>
    <w:rsid w:val="00AC2307"/>
    <w:rsid w:val="00AE06D2"/>
    <w:rsid w:val="00AE077C"/>
    <w:rsid w:val="00AF2543"/>
    <w:rsid w:val="00AF6B95"/>
    <w:rsid w:val="00B53CD0"/>
    <w:rsid w:val="00B60512"/>
    <w:rsid w:val="00B70738"/>
    <w:rsid w:val="00BE0475"/>
    <w:rsid w:val="00C0324B"/>
    <w:rsid w:val="00C13ED2"/>
    <w:rsid w:val="00C84682"/>
    <w:rsid w:val="00CC4BC0"/>
    <w:rsid w:val="00D052DC"/>
    <w:rsid w:val="00D30A90"/>
    <w:rsid w:val="00DE166C"/>
    <w:rsid w:val="00DE7C10"/>
    <w:rsid w:val="00E07243"/>
    <w:rsid w:val="00E1376D"/>
    <w:rsid w:val="00EC4BE1"/>
    <w:rsid w:val="00EE7D27"/>
    <w:rsid w:val="00F2498C"/>
    <w:rsid w:val="00F5363D"/>
    <w:rsid w:val="00F96963"/>
    <w:rsid w:val="00FD5B6C"/>
    <w:rsid w:val="00FF7781"/>
    <w:rsid w:val="0B472C8B"/>
    <w:rsid w:val="10AE6B31"/>
    <w:rsid w:val="190D3E74"/>
    <w:rsid w:val="29ED5B7C"/>
    <w:rsid w:val="2E277221"/>
    <w:rsid w:val="379D04C0"/>
    <w:rsid w:val="3EB62095"/>
    <w:rsid w:val="40F4727E"/>
    <w:rsid w:val="53AC07C1"/>
    <w:rsid w:val="6D1C0248"/>
    <w:rsid w:val="72610B9F"/>
    <w:rsid w:val="74A95DDF"/>
    <w:rsid w:val="7C264C89"/>
    <w:rsid w:val="7EEF1F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autoRedefine/>
    <w:qFormat/>
    <w:uiPriority w:val="0"/>
    <w:pPr>
      <w:autoSpaceDE w:val="0"/>
      <w:autoSpaceDN w:val="0"/>
      <w:adjustRightInd w:val="0"/>
      <w:spacing w:before="340" w:after="331"/>
      <w:jc w:val="left"/>
      <w:outlineLvl w:val="0"/>
    </w:pPr>
    <w:rPr>
      <w:rFonts w:ascii="黑体" w:hAnsi="Times New Roman" w:eastAsia="黑体" w:cs="Times New Roman"/>
      <w:kern w:val="0"/>
      <w:sz w:val="20"/>
      <w:szCs w:val="20"/>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unhideWhenUsed/>
    <w:uiPriority w:val="99"/>
    <w:pPr>
      <w:jc w:val="left"/>
    </w:pPr>
  </w:style>
  <w:style w:type="paragraph" w:styleId="4">
    <w:name w:val="Balloon Text"/>
    <w:basedOn w:val="1"/>
    <w:link w:val="12"/>
    <w:autoRedefine/>
    <w:semiHidden/>
    <w:unhideWhenUsed/>
    <w:qFormat/>
    <w:uiPriority w:val="99"/>
    <w:rPr>
      <w:sz w:val="18"/>
      <w:szCs w:val="18"/>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uiPriority w:val="99"/>
    <w:rPr>
      <w:sz w:val="21"/>
      <w:szCs w:val="21"/>
    </w:r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autoRedefine/>
    <w:semiHidden/>
    <w:qFormat/>
    <w:uiPriority w:val="99"/>
    <w:rPr>
      <w:sz w:val="18"/>
      <w:szCs w:val="18"/>
    </w:rPr>
  </w:style>
  <w:style w:type="character" w:customStyle="1" w:styleId="12">
    <w:name w:val="批注框文本 Char"/>
    <w:basedOn w:val="8"/>
    <w:link w:val="4"/>
    <w:semiHidden/>
    <w:qFormat/>
    <w:uiPriority w:val="99"/>
    <w:rPr>
      <w:kern w:val="2"/>
      <w:sz w:val="18"/>
      <w:szCs w:val="18"/>
    </w:rPr>
  </w:style>
  <w:style w:type="character" w:customStyle="1" w:styleId="13">
    <w:name w:val="标题 1 Char"/>
    <w:basedOn w:val="8"/>
    <w:link w:val="2"/>
    <w:qFormat/>
    <w:uiPriority w:val="0"/>
    <w:rPr>
      <w:rFonts w:ascii="黑体" w:hAnsi="Times New Roman" w:eastAsia="黑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DE603-6E96-49A1-8384-1F9402869E6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3036</Words>
  <Characters>3457</Characters>
  <Lines>26</Lines>
  <Paragraphs>7</Paragraphs>
  <TotalTime>317</TotalTime>
  <ScaleCrop>false</ScaleCrop>
  <LinksUpToDate>false</LinksUpToDate>
  <CharactersWithSpaces>3561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2020-04-03T06:13:00Z</dcterms:created>
  <dc:creator>ID=luoyj</dc:creator>
  <cp:lastModifiedBy>fangjs</cp:lastModifiedBy>
  <cp:lastPrinted>2020-03-12T07:42:00Z</cp:lastPrinted>
  <dcterms:modified xsi:type="dcterms:W3CDTF">2024-02-28T02:17:45Z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77F2252AA53947C1A5B27D20FFC17E9E</vt:lpwstr>
  </property>
</Properties>
</file>