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CBC3B">
      <w:pPr>
        <w:spacing w:before="120" w:beforeLines="50" w:after="120" w:afterLines="50"/>
        <w:jc w:val="center"/>
        <w:rPr>
          <w:rFonts w:hint="eastAsia" w:eastAsia="黑体"/>
          <w:sz w:val="48"/>
          <w:lang w:val="en-US" w:eastAsia="zh-CN"/>
        </w:rPr>
      </w:pPr>
      <w:bookmarkStart w:id="0" w:name="_GoBack"/>
      <w:r>
        <w:rPr>
          <w:rFonts w:hint="eastAsia" w:eastAsia="黑体"/>
          <w:sz w:val="48"/>
          <w:lang w:eastAsia="zh-CN"/>
        </w:rPr>
        <w:t>置换铜粉销售</w:t>
      </w:r>
      <w:r>
        <w:rPr>
          <w:rFonts w:hint="eastAsia" w:eastAsia="黑体"/>
          <w:sz w:val="48"/>
          <w:lang w:val="en-US" w:eastAsia="zh-CN"/>
        </w:rPr>
        <w:t>竞价</w:t>
      </w:r>
      <w:bookmarkEnd w:id="0"/>
    </w:p>
    <w:p w14:paraId="691ED637">
      <w:pPr>
        <w:spacing w:line="360" w:lineRule="auto"/>
        <w:ind w:firstLine="360" w:firstLineChars="150"/>
        <w:rPr>
          <w:rFonts w:hint="default" w:ascii="宋体" w:hAnsi="宋体" w:eastAsia="宋体"/>
          <w:sz w:val="24"/>
          <w:lang w:val="en-US" w:eastAsia="zh-CN"/>
        </w:rPr>
      </w:pPr>
      <w:r>
        <w:rPr>
          <w:rFonts w:hint="eastAsia" w:ascii="宋体" w:hAnsi="宋体"/>
          <w:sz w:val="24"/>
        </w:rPr>
        <w:t>项目编号：LHTY20250528-002</w:t>
      </w:r>
    </w:p>
    <w:p w14:paraId="2CB0CE13">
      <w:pPr>
        <w:spacing w:line="360" w:lineRule="auto"/>
        <w:ind w:firstLine="360" w:firstLineChars="150"/>
        <w:rPr>
          <w:rFonts w:hint="default" w:ascii="宋体" w:hAnsi="宋体" w:eastAsia="宋体"/>
          <w:sz w:val="24"/>
          <w:lang w:val="en-US" w:eastAsia="zh-CN"/>
        </w:rPr>
      </w:pPr>
      <w:r>
        <w:rPr>
          <w:rFonts w:hint="eastAsia" w:ascii="宋体" w:hAnsi="宋体"/>
          <w:sz w:val="24"/>
        </w:rPr>
        <w:t>发　布</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lang w:val="en-US" w:eastAsia="zh-CN"/>
        </w:rPr>
        <w:t>2025年5月28日</w:t>
      </w:r>
    </w:p>
    <w:p w14:paraId="016FA033">
      <w:pPr>
        <w:spacing w:line="360" w:lineRule="auto"/>
        <w:ind w:firstLine="360" w:firstLineChars="150"/>
        <w:jc w:val="both"/>
        <w:rPr>
          <w:rFonts w:hint="eastAsia" w:ascii="宋体" w:hAnsi="宋体"/>
          <w:sz w:val="24"/>
        </w:rPr>
      </w:pPr>
      <w:r>
        <w:rPr>
          <w:rFonts w:hint="eastAsia" w:ascii="宋体" w:hAnsi="宋体"/>
          <w:sz w:val="24"/>
        </w:rPr>
        <w:t>1、</w:t>
      </w:r>
      <w:r>
        <w:rPr>
          <w:rFonts w:hint="eastAsia" w:ascii="宋体" w:hAnsi="宋体"/>
          <w:sz w:val="24"/>
          <w:lang w:val="en-US" w:eastAsia="zh-CN"/>
        </w:rPr>
        <w:t>项目</w:t>
      </w:r>
      <w:r>
        <w:rPr>
          <w:rFonts w:hint="eastAsia" w:ascii="宋体" w:hAnsi="宋体"/>
          <w:sz w:val="24"/>
        </w:rPr>
        <w:t xml:space="preserve">名称: </w:t>
      </w:r>
      <w:r>
        <w:rPr>
          <w:rFonts w:hint="eastAsia" w:ascii="宋体" w:hAnsi="宋体"/>
          <w:sz w:val="24"/>
          <w:lang w:val="en-US" w:eastAsia="zh-CN"/>
        </w:rPr>
        <w:t>置换铜粉销售竞价</w:t>
      </w:r>
    </w:p>
    <w:p w14:paraId="684E1AA4">
      <w:pPr>
        <w:spacing w:line="360" w:lineRule="auto"/>
        <w:ind w:firstLine="360" w:firstLineChars="150"/>
        <w:jc w:val="both"/>
        <w:rPr>
          <w:rFonts w:ascii="宋体" w:hAnsi="宋体"/>
          <w:sz w:val="24"/>
        </w:rPr>
      </w:pPr>
      <w:r>
        <w:rPr>
          <w:rFonts w:hint="eastAsia" w:ascii="宋体" w:hAnsi="宋体"/>
          <w:sz w:val="24"/>
        </w:rPr>
        <w:t>2、招标人：张家港联合铜业有限公司</w:t>
      </w:r>
    </w:p>
    <w:p w14:paraId="52BB28DF">
      <w:pPr>
        <w:spacing w:line="360" w:lineRule="auto"/>
        <w:rPr>
          <w:rFonts w:hint="eastAsia" w:ascii="宋体" w:hAnsi="宋体"/>
          <w:b/>
          <w:bCs/>
          <w:sz w:val="24"/>
        </w:rPr>
      </w:pPr>
      <w:r>
        <w:rPr>
          <w:rFonts w:hint="eastAsia" w:ascii="宋体" w:hAnsi="宋体"/>
          <w:b/>
          <w:bCs/>
          <w:sz w:val="24"/>
        </w:rPr>
        <w:t>一、标的物名称、成分预估及对应重量（以实际质检结果为准）：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132"/>
        <w:gridCol w:w="2132"/>
        <w:gridCol w:w="4208"/>
      </w:tblGrid>
      <w:tr w14:paraId="01E6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2" w:type="dxa"/>
            <w:vMerge w:val="restart"/>
            <w:shd w:val="clear" w:color="auto" w:fill="FFFFFF"/>
            <w:noWrap w:val="0"/>
            <w:vAlign w:val="center"/>
          </w:tcPr>
          <w:p w14:paraId="120E958F">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出售货物名称</w:t>
            </w:r>
          </w:p>
          <w:p w14:paraId="395C4DBC">
            <w:pPr>
              <w:ind w:firstLine="227"/>
              <w:jc w:val="left"/>
              <w:rPr>
                <w:rFonts w:hint="eastAsia" w:ascii="宋体" w:hAnsi="宋体" w:cs="宋体"/>
                <w:sz w:val="24"/>
                <w:lang w:val="en-GB" w:eastAsia="en-US"/>
              </w:rPr>
            </w:pPr>
          </w:p>
        </w:tc>
        <w:tc>
          <w:tcPr>
            <w:tcW w:w="2132" w:type="dxa"/>
            <w:vMerge w:val="restart"/>
            <w:shd w:val="clear" w:color="auto" w:fill="FFFFFF"/>
            <w:noWrap w:val="0"/>
            <w:vAlign w:val="center"/>
          </w:tcPr>
          <w:p w14:paraId="53A9A86C">
            <w:pPr>
              <w:spacing w:line="360" w:lineRule="auto"/>
              <w:jc w:val="center"/>
              <w:rPr>
                <w:rFonts w:hint="eastAsia" w:ascii="宋体" w:hAnsi="宋体" w:cs="宋体"/>
                <w:sz w:val="24"/>
                <w:lang w:val="en-GB" w:eastAsia="en-US"/>
              </w:rPr>
            </w:pPr>
            <w:r>
              <w:rPr>
                <w:rFonts w:hint="eastAsia" w:ascii="宋体" w:hAnsi="宋体" w:cs="宋体"/>
                <w:sz w:val="24"/>
                <w:lang w:val="en-GB" w:eastAsia="en-US"/>
              </w:rPr>
              <w:t>数量</w:t>
            </w:r>
          </w:p>
          <w:p w14:paraId="019E9057">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（吨）</w:t>
            </w:r>
          </w:p>
        </w:tc>
        <w:tc>
          <w:tcPr>
            <w:tcW w:w="4208" w:type="dxa"/>
            <w:shd w:val="clear" w:color="auto" w:fill="FFFFFF"/>
            <w:noWrap w:val="0"/>
            <w:vAlign w:val="top"/>
          </w:tcPr>
          <w:p w14:paraId="57FDBE37">
            <w:pPr>
              <w:spacing w:line="360" w:lineRule="auto"/>
              <w:jc w:val="center"/>
              <w:rPr>
                <w:rFonts w:hint="eastAsia" w:ascii="宋体" w:hAnsi="宋体" w:cs="宋体"/>
                <w:sz w:val="24"/>
                <w:lang w:val="en-GB"/>
              </w:rPr>
            </w:pPr>
            <w:r>
              <w:rPr>
                <w:rFonts w:hint="eastAsia" w:ascii="宋体" w:hAnsi="宋体" w:cs="宋体"/>
                <w:sz w:val="24"/>
                <w:lang w:val="en-GB"/>
              </w:rPr>
              <w:t>物料成分（预估，以实际化验为准）</w:t>
            </w:r>
          </w:p>
        </w:tc>
      </w:tr>
      <w:tr w14:paraId="04C4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vMerge w:val="continue"/>
            <w:shd w:val="clear" w:color="auto" w:fill="FFFFFF"/>
            <w:noWrap w:val="0"/>
            <w:vAlign w:val="top"/>
          </w:tcPr>
          <w:p w14:paraId="5415B408">
            <w:pPr>
              <w:spacing w:line="360" w:lineRule="auto"/>
              <w:rPr>
                <w:rFonts w:hint="eastAsia" w:ascii="宋体" w:hAnsi="宋体" w:cs="宋体"/>
                <w:sz w:val="24"/>
                <w:lang w:val="en-GB"/>
              </w:rPr>
            </w:pPr>
          </w:p>
        </w:tc>
        <w:tc>
          <w:tcPr>
            <w:tcW w:w="2132" w:type="dxa"/>
            <w:vMerge w:val="continue"/>
            <w:shd w:val="clear" w:color="auto" w:fill="FFFFFF"/>
            <w:noWrap w:val="0"/>
            <w:vAlign w:val="top"/>
          </w:tcPr>
          <w:p w14:paraId="5B9A72AD">
            <w:pPr>
              <w:spacing w:line="360" w:lineRule="auto"/>
              <w:rPr>
                <w:rFonts w:hint="eastAsia" w:ascii="宋体" w:hAnsi="宋体" w:cs="宋体"/>
                <w:sz w:val="24"/>
                <w:lang w:val="en-GB"/>
              </w:rPr>
            </w:pPr>
          </w:p>
        </w:tc>
        <w:tc>
          <w:tcPr>
            <w:tcW w:w="4208" w:type="dxa"/>
            <w:shd w:val="clear" w:color="auto" w:fill="FFFFFF"/>
            <w:noWrap w:val="0"/>
            <w:vAlign w:val="center"/>
          </w:tcPr>
          <w:p w14:paraId="6FAF83C9">
            <w:pPr>
              <w:spacing w:line="360" w:lineRule="auto"/>
              <w:jc w:val="center"/>
              <w:rPr>
                <w:rFonts w:hint="eastAsia" w:ascii="宋体" w:hAnsi="宋体" w:cs="宋体"/>
                <w:sz w:val="24"/>
                <w:lang w:val="en-GB" w:eastAsia="en-US"/>
              </w:rPr>
            </w:pPr>
            <w:r>
              <w:rPr>
                <w:rFonts w:hint="eastAsia" w:ascii="宋体" w:hAnsi="宋体" w:cs="宋体"/>
                <w:sz w:val="24"/>
                <w:lang w:val="en-GB" w:eastAsia="en-US"/>
              </w:rPr>
              <w:t>Cu（%）</w:t>
            </w:r>
          </w:p>
        </w:tc>
      </w:tr>
      <w:tr w14:paraId="4EB0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shd w:val="clear" w:color="auto" w:fill="FFFFFF"/>
            <w:noWrap w:val="0"/>
            <w:vAlign w:val="center"/>
          </w:tcPr>
          <w:p w14:paraId="2290FAA7">
            <w:pPr>
              <w:spacing w:line="360" w:lineRule="auto"/>
              <w:jc w:val="center"/>
              <w:rPr>
                <w:rFonts w:hint="eastAsia" w:ascii="宋体" w:hAnsi="宋体" w:cs="宋体"/>
                <w:sz w:val="24"/>
                <w:lang w:val="en-GB"/>
              </w:rPr>
            </w:pPr>
            <w:r>
              <w:rPr>
                <w:rFonts w:hint="eastAsia" w:ascii="宋体" w:hAnsi="宋体" w:cs="宋体"/>
                <w:sz w:val="24"/>
                <w:lang w:val="en-GB"/>
              </w:rPr>
              <w:t>置换铜粉</w:t>
            </w:r>
          </w:p>
        </w:tc>
        <w:tc>
          <w:tcPr>
            <w:tcW w:w="2132" w:type="dxa"/>
            <w:shd w:val="clear" w:color="auto" w:fill="FFFFFF"/>
            <w:noWrap w:val="0"/>
            <w:vAlign w:val="center"/>
          </w:tcPr>
          <w:p w14:paraId="574031B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66</w:t>
            </w:r>
          </w:p>
        </w:tc>
        <w:tc>
          <w:tcPr>
            <w:tcW w:w="4208" w:type="dxa"/>
            <w:shd w:val="clear" w:color="auto" w:fill="FFFFFF"/>
            <w:noWrap w:val="0"/>
            <w:vAlign w:val="center"/>
          </w:tcPr>
          <w:p w14:paraId="02D29AB8">
            <w:pPr>
              <w:spacing w:line="360" w:lineRule="auto"/>
              <w:jc w:val="center"/>
              <w:rPr>
                <w:rFonts w:hint="default" w:ascii="宋体" w:hAnsi="宋体" w:eastAsia="宋体" w:cs="宋体"/>
                <w:sz w:val="24"/>
                <w:lang w:val="en-US" w:eastAsia="zh-CN"/>
              </w:rPr>
            </w:pPr>
            <w:r>
              <w:rPr>
                <w:rFonts w:hint="eastAsia" w:ascii="宋体" w:hAnsi="宋体" w:cs="宋体"/>
                <w:sz w:val="24"/>
              </w:rPr>
              <w:t>45-</w:t>
            </w:r>
            <w:r>
              <w:rPr>
                <w:rFonts w:hint="eastAsia" w:ascii="宋体" w:hAnsi="宋体" w:cs="宋体"/>
                <w:sz w:val="24"/>
                <w:lang w:val="en-US" w:eastAsia="zh-CN"/>
              </w:rPr>
              <w:t>50</w:t>
            </w:r>
          </w:p>
        </w:tc>
      </w:tr>
      <w:tr w14:paraId="3077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shd w:val="clear" w:color="auto" w:fill="FFFFFF"/>
            <w:noWrap w:val="0"/>
            <w:vAlign w:val="center"/>
          </w:tcPr>
          <w:p w14:paraId="27CB9A00">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合同计价元素</w:t>
            </w:r>
          </w:p>
        </w:tc>
        <w:tc>
          <w:tcPr>
            <w:tcW w:w="2132" w:type="dxa"/>
            <w:shd w:val="clear" w:color="auto" w:fill="FFFFFF"/>
            <w:noWrap w:val="0"/>
            <w:vAlign w:val="center"/>
          </w:tcPr>
          <w:p w14:paraId="2D7C89DC">
            <w:pPr>
              <w:spacing w:line="360" w:lineRule="auto"/>
              <w:jc w:val="center"/>
              <w:rPr>
                <w:rFonts w:hint="eastAsia" w:ascii="宋体" w:hAnsi="宋体" w:cs="宋体"/>
                <w:sz w:val="24"/>
                <w:lang w:val="en-GB" w:eastAsia="en-US"/>
              </w:rPr>
            </w:pPr>
            <w:r>
              <w:rPr>
                <w:rFonts w:hint="eastAsia" w:ascii="宋体" w:hAnsi="宋体" w:cs="宋体"/>
                <w:sz w:val="24"/>
                <w:lang w:val="en-GB" w:eastAsia="en-US"/>
              </w:rPr>
              <w:t>Cu</w:t>
            </w:r>
          </w:p>
        </w:tc>
        <w:tc>
          <w:tcPr>
            <w:tcW w:w="4208" w:type="dxa"/>
            <w:shd w:val="clear" w:color="auto" w:fill="FFFFFF"/>
            <w:noWrap w:val="0"/>
            <w:vAlign w:val="center"/>
          </w:tcPr>
          <w:p w14:paraId="6DB854E9">
            <w:pPr>
              <w:spacing w:line="360" w:lineRule="auto"/>
              <w:jc w:val="center"/>
              <w:rPr>
                <w:rFonts w:hint="eastAsia" w:ascii="宋体" w:hAnsi="宋体" w:cs="宋体"/>
                <w:sz w:val="24"/>
                <w:lang w:val="en-GB" w:eastAsia="en-US"/>
              </w:rPr>
            </w:pPr>
            <w:r>
              <w:rPr>
                <w:rFonts w:hint="eastAsia" w:ascii="宋体" w:hAnsi="宋体" w:cs="宋体"/>
                <w:sz w:val="24"/>
                <w:lang w:val="en-GB" w:eastAsia="en-US"/>
              </w:rPr>
              <w:t>√</w:t>
            </w:r>
          </w:p>
        </w:tc>
      </w:tr>
    </w:tbl>
    <w:p w14:paraId="1B29D3A8">
      <w:pPr>
        <w:numPr>
          <w:ilvl w:val="0"/>
          <w:numId w:val="1"/>
        </w:numPr>
        <w:spacing w:line="360" w:lineRule="auto"/>
        <w:rPr>
          <w:rFonts w:hint="eastAsia"/>
        </w:rPr>
      </w:pPr>
      <w:r>
        <w:rPr>
          <w:rFonts w:hint="eastAsia" w:ascii="宋体" w:hAnsi="宋体" w:cs="宋体"/>
          <w:sz w:val="24"/>
        </w:rPr>
        <w:t>此处数值仅供参考，投标方投标前</w:t>
      </w:r>
      <w:r>
        <w:rPr>
          <w:rFonts w:hint="eastAsia" w:ascii="宋体" w:hAnsi="宋体" w:cs="宋体"/>
          <w:sz w:val="24"/>
          <w:lang w:val="en-US" w:eastAsia="zh-CN"/>
        </w:rPr>
        <w:t>至张家港联合铜业有限公司（以下简称张家港铜业）</w:t>
      </w:r>
      <w:r>
        <w:rPr>
          <w:rFonts w:hint="eastAsia" w:ascii="宋体" w:hAnsi="宋体" w:cs="宋体"/>
          <w:sz w:val="24"/>
        </w:rPr>
        <w:t>现场查看并取样，根据样品分析结果</w:t>
      </w:r>
      <w:r>
        <w:rPr>
          <w:rFonts w:hint="eastAsia" w:ascii="宋体" w:hAnsi="宋体" w:cs="宋体"/>
          <w:sz w:val="24"/>
          <w:lang w:val="en-US" w:eastAsia="zh-CN"/>
        </w:rPr>
        <w:t>评判</w:t>
      </w:r>
      <w:r>
        <w:rPr>
          <w:rFonts w:hint="eastAsia" w:ascii="宋体" w:hAnsi="宋体" w:cs="宋体"/>
          <w:sz w:val="24"/>
        </w:rPr>
        <w:t>报价(样品不收取费用)。</w:t>
      </w:r>
    </w:p>
    <w:p w14:paraId="299115A5">
      <w:pPr>
        <w:numPr>
          <w:ilvl w:val="0"/>
          <w:numId w:val="1"/>
        </w:numPr>
        <w:spacing w:line="360" w:lineRule="auto"/>
        <w:rPr>
          <w:rFonts w:hint="default" w:ascii="宋体" w:hAnsi="宋体" w:cs="宋体"/>
          <w:sz w:val="24"/>
          <w:lang w:val="en-US" w:eastAsia="zh-CN"/>
        </w:rPr>
      </w:pPr>
      <w:r>
        <w:rPr>
          <w:rFonts w:hint="eastAsia" w:ascii="宋体" w:hAnsi="宋体" w:cs="宋体"/>
          <w:sz w:val="24"/>
          <w:lang w:val="en-US" w:eastAsia="zh-CN"/>
        </w:rPr>
        <w:t>标的物数量为预计产量，实际量以发货实际量为准。</w:t>
      </w:r>
    </w:p>
    <w:p w14:paraId="62C702BA">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二、投标人其他资质要求</w:t>
      </w:r>
    </w:p>
    <w:p w14:paraId="3D4B3524">
      <w:pPr>
        <w:numPr>
          <w:ilvl w:val="0"/>
          <w:numId w:val="0"/>
        </w:num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投标人投标前须前往张家港联合铜业有限公司现场对标的物进行取样，并提供相应资质给张家港联合铜业有限公司审核备案，以上工作完成后，张家港联合铜业有限公司向投标人签发取样回执（盖章），投标人投标须持有效取样回执，无取样回执的投标视为无效。</w:t>
      </w:r>
    </w:p>
    <w:p w14:paraId="3CF4DE17">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2、投标人应提供《危险废物经营许可证》，许可证内包含了HW48-321-002-48危废代码的处理资格，投标前请与业务联系人联系，确认其他资质有效性，有效期不得早于2025年12月。</w:t>
      </w:r>
    </w:p>
    <w:p w14:paraId="64930873">
      <w:pPr>
        <w:numPr>
          <w:ilvl w:val="0"/>
          <w:numId w:val="0"/>
        </w:numPr>
        <w:spacing w:line="360" w:lineRule="auto"/>
        <w:rPr>
          <w:rFonts w:hint="default"/>
          <w:lang w:val="en-US" w:eastAsia="zh-CN"/>
        </w:rPr>
      </w:pPr>
      <w:r>
        <w:rPr>
          <w:rFonts w:hint="eastAsia" w:ascii="宋体" w:hAnsi="宋体" w:cs="宋体"/>
          <w:sz w:val="24"/>
          <w:lang w:val="en-US" w:eastAsia="zh-CN"/>
        </w:rPr>
        <w:t>3、应提供企业有效的营业执照（加盖企业公章）。</w:t>
      </w:r>
    </w:p>
    <w:p w14:paraId="39F35726">
      <w:pPr>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eastAsia" w:ascii="宋体" w:hAnsi="宋体" w:cs="宋体"/>
          <w:b/>
          <w:bCs/>
          <w:color w:val="auto"/>
          <w:sz w:val="24"/>
        </w:rPr>
      </w:pPr>
      <w:r>
        <w:rPr>
          <w:rFonts w:hint="eastAsia" w:ascii="宋体" w:hAnsi="宋体" w:cs="宋体"/>
          <w:b/>
          <w:bCs/>
          <w:color w:val="auto"/>
          <w:sz w:val="24"/>
        </w:rPr>
        <w:t>投标及合同计价方法</w:t>
      </w:r>
    </w:p>
    <w:p w14:paraId="0F38EBD1">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1、合同计价方法：</w:t>
      </w:r>
    </w:p>
    <w:p w14:paraId="006B0356">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（1）结算基价：提货当日上海期货交易所铜当月铜合约日间均价（9:00-15:00）</w:t>
      </w:r>
    </w:p>
    <w:p w14:paraId="75837020">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（2）作价干预：①若作价日遇节假日则顺后延下一个交易日；</w:t>
      </w:r>
    </w:p>
    <w:p w14:paraId="044A8889">
      <w:pPr>
        <w:numPr>
          <w:ilvl w:val="0"/>
          <w:numId w:val="0"/>
        </w:numPr>
        <w:spacing w:line="360" w:lineRule="auto"/>
        <w:ind w:firstLine="1920" w:firstLineChars="800"/>
        <w:rPr>
          <w:rFonts w:hint="default" w:ascii="宋体" w:hAnsi="宋体" w:cs="宋体"/>
          <w:sz w:val="24"/>
          <w:lang w:val="en-US" w:eastAsia="zh-CN"/>
        </w:rPr>
      </w:pPr>
      <w:r>
        <w:rPr>
          <w:rFonts w:hint="eastAsia" w:ascii="宋体" w:hAnsi="宋体" w:cs="宋体"/>
          <w:sz w:val="24"/>
          <w:lang w:val="en-US" w:eastAsia="zh-CN"/>
        </w:rPr>
        <w:t>②若作价当日出现涨/跌停，作价日顺延至下一个交易日；</w:t>
      </w:r>
    </w:p>
    <w:p w14:paraId="22CD4FDD">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2、结算公式：铜结算金属量*结算基价*计价系数（铜金属量=结算品位*实际重量）。</w:t>
      </w:r>
    </w:p>
    <w:p w14:paraId="1F6A6022">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3、投标：投标方针对标的物按计价系数报价，报价格式为X%（X表示为系数数字）。</w:t>
      </w:r>
    </w:p>
    <w:p w14:paraId="49D80574">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b/>
          <w:bCs/>
          <w:sz w:val="24"/>
        </w:rPr>
        <w:t>三、地点：</w:t>
      </w:r>
      <w:r>
        <w:rPr>
          <w:rFonts w:hint="eastAsia" w:ascii="宋体" w:hAnsi="宋体" w:cs="宋体"/>
          <w:sz w:val="24"/>
          <w:lang w:val="en-US" w:eastAsia="zh-CN"/>
        </w:rPr>
        <w:t>张家港铜业</w:t>
      </w:r>
      <w:r>
        <w:rPr>
          <w:rFonts w:hint="eastAsia" w:ascii="宋体" w:hAnsi="宋体" w:cs="宋体"/>
          <w:sz w:val="24"/>
        </w:rPr>
        <w:t>指定危险废物贮存仓库。</w:t>
      </w:r>
    </w:p>
    <w:p w14:paraId="2FF0C71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b/>
          <w:bCs/>
          <w:sz w:val="24"/>
        </w:rPr>
      </w:pPr>
      <w:r>
        <w:rPr>
          <w:rFonts w:hint="eastAsia" w:ascii="宋体" w:hAnsi="宋体" w:cs="宋体"/>
          <w:b/>
          <w:bCs/>
          <w:sz w:val="24"/>
        </w:rPr>
        <w:t>四、提货要求：</w:t>
      </w:r>
    </w:p>
    <w:p w14:paraId="3920CB1B">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cs="宋体"/>
          <w:b w:val="0"/>
          <w:bCs w:val="0"/>
          <w:sz w:val="24"/>
          <w:lang w:eastAsia="zh-CN"/>
        </w:rPr>
      </w:pPr>
      <w:r>
        <w:rPr>
          <w:rFonts w:hint="eastAsia" w:ascii="宋体" w:hAnsi="宋体" w:cs="宋体"/>
          <w:b w:val="0"/>
          <w:bCs w:val="0"/>
          <w:sz w:val="24"/>
          <w:lang w:val="en-US" w:eastAsia="zh-CN"/>
        </w:rPr>
        <w:t>1、危险废物转移准备：</w:t>
      </w:r>
      <w:r>
        <w:rPr>
          <w:rFonts w:hint="eastAsia" w:ascii="宋体" w:hAnsi="宋体" w:cs="宋体"/>
          <w:b w:val="0"/>
          <w:bCs w:val="0"/>
          <w:sz w:val="24"/>
          <w:lang w:eastAsia="zh-CN"/>
        </w:rPr>
        <w:t>中标方与</w:t>
      </w:r>
      <w:r>
        <w:rPr>
          <w:rFonts w:hint="eastAsia" w:ascii="宋体" w:hAnsi="宋体" w:cs="宋体"/>
          <w:b w:val="0"/>
          <w:bCs w:val="0"/>
          <w:sz w:val="24"/>
          <w:lang w:val="en-US" w:eastAsia="zh-CN"/>
        </w:rPr>
        <w:t>张家港铜业</w:t>
      </w:r>
      <w:r>
        <w:rPr>
          <w:rFonts w:hint="eastAsia" w:ascii="宋体" w:hAnsi="宋体" w:cs="宋体"/>
          <w:b w:val="0"/>
          <w:bCs w:val="0"/>
          <w:sz w:val="24"/>
          <w:lang w:eastAsia="zh-CN"/>
        </w:rPr>
        <w:t>在签订合同后，应将公司基本资料、接收计划、危险废物转移资料（与</w:t>
      </w:r>
      <w:r>
        <w:rPr>
          <w:rFonts w:hint="eastAsia" w:ascii="宋体" w:hAnsi="宋体" w:cs="宋体"/>
          <w:sz w:val="24"/>
          <w:lang w:val="en-US" w:eastAsia="zh-CN"/>
        </w:rPr>
        <w:t>张家港铜业</w:t>
      </w:r>
      <w:r>
        <w:rPr>
          <w:rFonts w:hint="eastAsia" w:ascii="宋体" w:hAnsi="宋体" w:cs="宋体"/>
          <w:b w:val="0"/>
          <w:bCs w:val="0"/>
          <w:sz w:val="24"/>
          <w:lang w:eastAsia="zh-CN"/>
        </w:rPr>
        <w:t>安全环保部对接）、承运公司资质资料等原件盖章交于</w:t>
      </w:r>
      <w:r>
        <w:rPr>
          <w:rFonts w:hint="eastAsia" w:ascii="宋体" w:hAnsi="宋体" w:cs="宋体"/>
          <w:sz w:val="24"/>
          <w:lang w:val="en-US" w:eastAsia="zh-CN"/>
        </w:rPr>
        <w:t>张家港铜业</w:t>
      </w:r>
      <w:r>
        <w:rPr>
          <w:rFonts w:hint="eastAsia" w:ascii="宋体" w:hAnsi="宋体" w:cs="宋体"/>
          <w:b w:val="0"/>
          <w:bCs w:val="0"/>
          <w:sz w:val="24"/>
          <w:lang w:eastAsia="zh-CN"/>
        </w:rPr>
        <w:t>，</w:t>
      </w:r>
      <w:r>
        <w:rPr>
          <w:rFonts w:hint="eastAsia" w:ascii="宋体" w:hAnsi="宋体" w:cs="宋体"/>
          <w:sz w:val="24"/>
          <w:lang w:val="en-US" w:eastAsia="zh-CN"/>
        </w:rPr>
        <w:t>张家港铜业</w:t>
      </w:r>
      <w:r>
        <w:rPr>
          <w:rFonts w:hint="eastAsia" w:ascii="宋体" w:hAnsi="宋体" w:cs="宋体"/>
          <w:b w:val="0"/>
          <w:bCs w:val="0"/>
          <w:sz w:val="24"/>
          <w:lang w:eastAsia="zh-CN"/>
        </w:rPr>
        <w:t>收到资料后立即展开危险废物转移申报工作。申报程序到达中标方所在地市环保局，中标方应立即展开审批跟踪及回传工作。</w:t>
      </w:r>
    </w:p>
    <w:p w14:paraId="05EE3FD7">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cs="宋体"/>
          <w:bCs/>
          <w:sz w:val="24"/>
        </w:rPr>
      </w:pPr>
      <w:r>
        <w:rPr>
          <w:rFonts w:hint="eastAsia" w:ascii="宋体" w:hAnsi="宋体" w:cs="宋体"/>
          <w:bCs/>
          <w:sz w:val="24"/>
          <w:lang w:val="en-US" w:eastAsia="zh-CN"/>
        </w:rPr>
        <w:t>2、提货框架：</w:t>
      </w:r>
      <w:r>
        <w:rPr>
          <w:rFonts w:hint="eastAsia" w:ascii="宋体" w:hAnsi="宋体" w:cs="宋体"/>
          <w:bCs/>
          <w:sz w:val="24"/>
          <w:lang w:eastAsia="zh-CN"/>
        </w:rPr>
        <w:t>转移审批</w:t>
      </w:r>
      <w:r>
        <w:rPr>
          <w:rFonts w:hint="eastAsia" w:ascii="宋体" w:hAnsi="宋体" w:cs="宋体"/>
          <w:bCs/>
          <w:sz w:val="24"/>
        </w:rPr>
        <w:t>程序</w:t>
      </w:r>
      <w:r>
        <w:rPr>
          <w:rFonts w:hint="eastAsia" w:ascii="宋体" w:hAnsi="宋体" w:cs="宋体"/>
          <w:bCs/>
          <w:sz w:val="24"/>
          <w:lang w:eastAsia="zh-CN"/>
        </w:rPr>
        <w:t>完成</w:t>
      </w:r>
      <w:r>
        <w:rPr>
          <w:rFonts w:hint="eastAsia" w:ascii="宋体" w:hAnsi="宋体" w:cs="宋体"/>
          <w:bCs/>
          <w:sz w:val="24"/>
        </w:rPr>
        <w:t>后，</w:t>
      </w:r>
      <w:r>
        <w:rPr>
          <w:rFonts w:hint="eastAsia" w:ascii="宋体" w:hAnsi="宋体" w:cs="宋体"/>
          <w:bCs/>
          <w:sz w:val="24"/>
          <w:lang w:eastAsia="zh-CN"/>
        </w:rPr>
        <w:t>中标方按</w:t>
      </w:r>
      <w:r>
        <w:rPr>
          <w:rFonts w:hint="eastAsia" w:ascii="宋体" w:hAnsi="宋体" w:cs="宋体"/>
          <w:sz w:val="24"/>
          <w:lang w:val="en-US" w:eastAsia="zh-CN"/>
        </w:rPr>
        <w:t>张家港铜业</w:t>
      </w:r>
      <w:r>
        <w:rPr>
          <w:rFonts w:hint="eastAsia" w:ascii="宋体" w:hAnsi="宋体" w:cs="宋体"/>
          <w:bCs/>
          <w:sz w:val="24"/>
          <w:lang w:eastAsia="zh-CN"/>
        </w:rPr>
        <w:t>通知</w:t>
      </w:r>
      <w:r>
        <w:rPr>
          <w:rFonts w:hint="eastAsia" w:ascii="宋体" w:hAnsi="宋体" w:cs="宋体"/>
          <w:bCs/>
          <w:sz w:val="24"/>
          <w:lang w:val="en-US" w:eastAsia="zh-CN"/>
        </w:rPr>
        <w:t>及时</w:t>
      </w:r>
      <w:r>
        <w:rPr>
          <w:rFonts w:hint="eastAsia" w:ascii="宋体" w:hAnsi="宋体" w:cs="宋体"/>
          <w:bCs/>
          <w:sz w:val="24"/>
        </w:rPr>
        <w:t>执行发货程序；</w:t>
      </w:r>
    </w:p>
    <w:p w14:paraId="5E26880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cs="宋体"/>
          <w:bCs/>
          <w:sz w:val="24"/>
          <w:lang w:val="en-US" w:eastAsia="zh-CN"/>
        </w:rPr>
        <w:t>3、</w:t>
      </w:r>
      <w:r>
        <w:rPr>
          <w:rFonts w:hint="eastAsia" w:ascii="宋体" w:hAnsi="宋体" w:eastAsia="宋体" w:cs="宋体"/>
          <w:b w:val="0"/>
          <w:bCs w:val="0"/>
          <w:kern w:val="2"/>
          <w:sz w:val="24"/>
          <w:szCs w:val="24"/>
          <w:lang w:val="en-US" w:eastAsia="zh-CN" w:bidi="ar-SA"/>
        </w:rPr>
        <w:t>运输要求：中标方负责委托第三方有资质的运输单位运输，其工作人员未经</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批准不得进入</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非标的物存放的区域且应当遵守</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有关环保、安全、卫生、5S管理等规章制度，不影响</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的正常生产经营秩序，进厂运输危废物时，需要主动下车登记后方可进入，且车速不超过5公里/小时。</w:t>
      </w:r>
      <w:r>
        <w:rPr>
          <w:rFonts w:hint="eastAsia" w:ascii="宋体" w:hAnsi="宋体" w:cs="宋体"/>
          <w:b w:val="0"/>
          <w:bCs w:val="0"/>
          <w:kern w:val="2"/>
          <w:sz w:val="24"/>
          <w:szCs w:val="24"/>
          <w:lang w:val="en-US" w:eastAsia="zh-CN" w:bidi="ar-SA"/>
        </w:rPr>
        <w:t>危废物</w:t>
      </w:r>
      <w:r>
        <w:rPr>
          <w:rFonts w:hint="eastAsia" w:ascii="宋体" w:hAnsi="宋体" w:eastAsia="宋体" w:cs="宋体"/>
          <w:sz w:val="24"/>
          <w:szCs w:val="24"/>
        </w:rPr>
        <w:t>出厂</w:t>
      </w:r>
      <w:r>
        <w:rPr>
          <w:rFonts w:hint="eastAsia" w:ascii="宋体" w:hAnsi="宋体" w:cs="宋体"/>
          <w:sz w:val="24"/>
          <w:szCs w:val="24"/>
          <w:lang w:eastAsia="zh-CN"/>
        </w:rPr>
        <w:t>前</w:t>
      </w:r>
      <w:r>
        <w:rPr>
          <w:rFonts w:hint="eastAsia" w:ascii="宋体" w:hAnsi="宋体" w:eastAsia="宋体" w:cs="宋体"/>
          <w:sz w:val="24"/>
          <w:szCs w:val="24"/>
        </w:rPr>
        <w:t>，双方应确认种类与数量并由</w:t>
      </w:r>
      <w:r>
        <w:rPr>
          <w:rFonts w:hint="eastAsia" w:ascii="宋体" w:hAnsi="宋体" w:cs="宋体"/>
          <w:sz w:val="24"/>
          <w:szCs w:val="24"/>
          <w:lang w:eastAsia="zh-CN"/>
        </w:rPr>
        <w:t>买方安环部门开具电子转移联单</w:t>
      </w:r>
      <w:r>
        <w:rPr>
          <w:rFonts w:hint="eastAsia" w:ascii="宋体" w:hAnsi="宋体" w:eastAsia="宋体" w:cs="宋体"/>
          <w:sz w:val="24"/>
          <w:szCs w:val="24"/>
        </w:rPr>
        <w:t>，以便跟踪管理，</w:t>
      </w:r>
      <w:r>
        <w:rPr>
          <w:rFonts w:hint="eastAsia" w:ascii="宋体" w:hAnsi="宋体" w:cs="宋体"/>
          <w:sz w:val="24"/>
          <w:szCs w:val="24"/>
          <w:lang w:eastAsia="zh-CN"/>
        </w:rPr>
        <w:t>中标方</w:t>
      </w:r>
      <w:r>
        <w:rPr>
          <w:rFonts w:hint="eastAsia" w:ascii="宋体" w:hAnsi="宋体" w:eastAsia="宋体" w:cs="宋体"/>
          <w:sz w:val="24"/>
          <w:szCs w:val="24"/>
        </w:rPr>
        <w:t>凭</w:t>
      </w:r>
      <w:r>
        <w:rPr>
          <w:rFonts w:hint="eastAsia" w:ascii="宋体" w:hAnsi="宋体" w:cs="宋体"/>
          <w:sz w:val="24"/>
          <w:lang w:val="en-US" w:eastAsia="zh-CN"/>
        </w:rPr>
        <w:t>张家港铜业</w:t>
      </w:r>
      <w:r>
        <w:rPr>
          <w:rFonts w:hint="eastAsia" w:ascii="宋体" w:hAnsi="宋体" w:eastAsia="宋体" w:cs="宋体"/>
          <w:sz w:val="24"/>
          <w:szCs w:val="24"/>
        </w:rPr>
        <w:t>的出门证出门</w:t>
      </w:r>
      <w:r>
        <w:rPr>
          <w:rFonts w:hint="eastAsia" w:ascii="宋体" w:hAnsi="宋体" w:cs="宋体"/>
          <w:sz w:val="24"/>
          <w:szCs w:val="24"/>
          <w:lang w:eastAsia="zh-CN"/>
        </w:rPr>
        <w:t>，危废物到达中标方接收厂区后应及时接收联单并做入库</w:t>
      </w:r>
      <w:r>
        <w:rPr>
          <w:rFonts w:hint="eastAsia" w:ascii="宋体" w:hAnsi="宋体" w:eastAsia="宋体" w:cs="宋体"/>
          <w:sz w:val="24"/>
          <w:szCs w:val="24"/>
        </w:rPr>
        <w:t>。</w:t>
      </w:r>
    </w:p>
    <w:p w14:paraId="2E4812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4、环保责任：</w:t>
      </w:r>
      <w:r>
        <w:rPr>
          <w:rFonts w:hint="eastAsia" w:ascii="宋体" w:hAnsi="宋体" w:eastAsia="宋体" w:cs="宋体"/>
          <w:sz w:val="24"/>
          <w:szCs w:val="24"/>
        </w:rPr>
        <w:t>在</w:t>
      </w:r>
      <w:r>
        <w:rPr>
          <w:rFonts w:hint="eastAsia" w:ascii="宋体" w:hAnsi="宋体" w:eastAsia="宋体" w:cs="宋体"/>
          <w:sz w:val="24"/>
          <w:szCs w:val="24"/>
          <w:lang w:eastAsia="zh-CN"/>
        </w:rPr>
        <w:t>危废物</w:t>
      </w:r>
      <w:r>
        <w:rPr>
          <w:rFonts w:hint="eastAsia" w:ascii="宋体" w:hAnsi="宋体" w:eastAsia="宋体" w:cs="宋体"/>
          <w:sz w:val="24"/>
          <w:szCs w:val="24"/>
          <w:lang w:val="en-US" w:eastAsia="zh-CN"/>
        </w:rPr>
        <w:t>出厂</w:t>
      </w:r>
      <w:r>
        <w:rPr>
          <w:rFonts w:hint="eastAsia" w:ascii="宋体" w:hAnsi="宋体" w:eastAsia="宋体" w:cs="宋体"/>
          <w:sz w:val="24"/>
          <w:szCs w:val="24"/>
        </w:rPr>
        <w:t>前发生任何环境污染问题或事故由</w:t>
      </w:r>
      <w:r>
        <w:rPr>
          <w:rFonts w:hint="eastAsia" w:ascii="宋体" w:hAnsi="宋体" w:cs="宋体"/>
          <w:sz w:val="24"/>
          <w:lang w:val="en-US" w:eastAsia="zh-CN"/>
        </w:rPr>
        <w:t>张家港铜业</w:t>
      </w:r>
      <w:r>
        <w:rPr>
          <w:rFonts w:hint="eastAsia" w:ascii="宋体" w:hAnsi="宋体" w:eastAsia="宋体" w:cs="宋体"/>
          <w:sz w:val="24"/>
          <w:szCs w:val="24"/>
        </w:rPr>
        <w:t>承担全部责任</w:t>
      </w:r>
      <w:r>
        <w:rPr>
          <w:rFonts w:hint="eastAsia" w:ascii="宋体" w:hAnsi="宋体" w:eastAsia="宋体" w:cs="宋体"/>
          <w:sz w:val="24"/>
          <w:szCs w:val="24"/>
          <w:lang w:eastAsia="zh-CN"/>
        </w:rPr>
        <w:t>，</w:t>
      </w:r>
      <w:r>
        <w:rPr>
          <w:rFonts w:hint="eastAsia" w:ascii="宋体" w:hAnsi="宋体" w:eastAsia="宋体" w:cs="宋体"/>
          <w:sz w:val="24"/>
          <w:szCs w:val="24"/>
        </w:rPr>
        <w:t>在废物转</w:t>
      </w:r>
      <w:r>
        <w:rPr>
          <w:rFonts w:hint="eastAsia" w:ascii="宋体" w:hAnsi="宋体" w:eastAsia="宋体" w:cs="宋体"/>
          <w:sz w:val="24"/>
          <w:szCs w:val="24"/>
          <w:lang w:val="en-US" w:eastAsia="zh-CN"/>
        </w:rPr>
        <w:t>出厂</w:t>
      </w:r>
      <w:r>
        <w:rPr>
          <w:rFonts w:hint="eastAsia" w:ascii="宋体" w:hAnsi="宋体" w:eastAsia="宋体" w:cs="宋体"/>
          <w:sz w:val="24"/>
          <w:szCs w:val="24"/>
        </w:rPr>
        <w:t>后，</w:t>
      </w:r>
      <w:r>
        <w:rPr>
          <w:rFonts w:hint="eastAsia" w:ascii="宋体" w:hAnsi="宋体" w:eastAsia="宋体" w:cs="宋体"/>
          <w:sz w:val="24"/>
          <w:szCs w:val="24"/>
          <w:lang w:eastAsia="zh-CN"/>
        </w:rPr>
        <w:t>中标方</w:t>
      </w:r>
      <w:r>
        <w:rPr>
          <w:rFonts w:hint="eastAsia" w:ascii="宋体" w:hAnsi="宋体" w:eastAsia="宋体" w:cs="宋体"/>
          <w:sz w:val="24"/>
          <w:szCs w:val="24"/>
        </w:rPr>
        <w:t>对其所可能引起的任何环境污染问题或事故承担全部责任。因操作不当而造成整个处理过程中某个环节的任何泄漏与污染，均由</w:t>
      </w:r>
      <w:r>
        <w:rPr>
          <w:rFonts w:hint="eastAsia" w:ascii="宋体" w:hAnsi="宋体" w:eastAsia="宋体" w:cs="宋体"/>
          <w:sz w:val="24"/>
          <w:szCs w:val="24"/>
          <w:lang w:eastAsia="zh-CN"/>
        </w:rPr>
        <w:t>中标方</w:t>
      </w:r>
      <w:r>
        <w:rPr>
          <w:rFonts w:hint="eastAsia" w:ascii="宋体" w:hAnsi="宋体" w:eastAsia="宋体" w:cs="宋体"/>
          <w:sz w:val="24"/>
          <w:szCs w:val="24"/>
        </w:rPr>
        <w:t>负责协调解决，若由此造成</w:t>
      </w:r>
      <w:r>
        <w:rPr>
          <w:rFonts w:hint="eastAsia" w:ascii="宋体" w:hAnsi="宋体" w:cs="宋体"/>
          <w:sz w:val="24"/>
          <w:lang w:val="en-US" w:eastAsia="zh-CN"/>
        </w:rPr>
        <w:t>张家港铜业</w:t>
      </w:r>
      <w:r>
        <w:rPr>
          <w:rFonts w:hint="eastAsia" w:ascii="宋体" w:hAnsi="宋体" w:eastAsia="宋体" w:cs="宋体"/>
          <w:sz w:val="24"/>
          <w:szCs w:val="24"/>
        </w:rPr>
        <w:t>损失（包括但不限于因此受政府部门罚款等）的，</w:t>
      </w:r>
      <w:r>
        <w:rPr>
          <w:rFonts w:hint="eastAsia" w:ascii="宋体" w:hAnsi="宋体" w:eastAsia="宋体" w:cs="宋体"/>
          <w:sz w:val="24"/>
          <w:szCs w:val="24"/>
          <w:lang w:eastAsia="zh-CN"/>
        </w:rPr>
        <w:t>中标方</w:t>
      </w:r>
      <w:r>
        <w:rPr>
          <w:rFonts w:hint="eastAsia" w:ascii="宋体" w:hAnsi="宋体" w:eastAsia="宋体" w:cs="宋体"/>
          <w:sz w:val="24"/>
          <w:szCs w:val="24"/>
        </w:rPr>
        <w:t>应负责赔偿。</w:t>
      </w:r>
    </w:p>
    <w:p w14:paraId="6F84825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default" w:ascii="宋体" w:hAnsi="宋体" w:eastAsia="宋体" w:cs="宋体"/>
          <w:sz w:val="24"/>
          <w:szCs w:val="24"/>
          <w:lang w:val="en-US" w:eastAsia="zh-CN"/>
        </w:rPr>
      </w:pPr>
      <w:r>
        <w:rPr>
          <w:rFonts w:hint="eastAsia" w:cs="宋体"/>
          <w:sz w:val="24"/>
          <w:szCs w:val="24"/>
          <w:lang w:val="en-US" w:eastAsia="zh-CN"/>
        </w:rPr>
        <w:t>5、提货期限：中标人应按张家港联合铜业有限公司书面提货通知要求时限内提货。</w:t>
      </w:r>
    </w:p>
    <w:p w14:paraId="75ECAA39">
      <w:pPr>
        <w:snapToGrid w:val="0"/>
        <w:spacing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w:t>
      </w:r>
      <w:r>
        <w:rPr>
          <w:rFonts w:hint="eastAsia" w:ascii="宋体" w:hAnsi="宋体" w:cs="宋体"/>
          <w:b/>
          <w:bCs/>
          <w:kern w:val="2"/>
          <w:sz w:val="24"/>
          <w:szCs w:val="24"/>
          <w:lang w:val="en-US" w:eastAsia="zh-CN" w:bidi="ar-SA"/>
        </w:rPr>
        <w:t>质检验收</w:t>
      </w:r>
    </w:p>
    <w:p w14:paraId="3405BD8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left"/>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计量以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地磅过磅为准，结算重量为扣除包装后的重量，扣除包装后的重量需要在磅单上注明，作为双方结算的依据。</w:t>
      </w:r>
    </w:p>
    <w:p w14:paraId="2387161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取样方式为：边装车边取样。具体操作方式双方可现场协商。</w:t>
      </w:r>
    </w:p>
    <w:p w14:paraId="4637568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cs="宋体"/>
          <w:b/>
          <w:bCs/>
          <w:sz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过磅、取样过程，买卖双方代表均在场监督，如买方未派代表参加，则视为同意</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的操作。取样后样品分四份，</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二份，买方一</w:t>
      </w:r>
      <w:r>
        <w:rPr>
          <w:rFonts w:hint="eastAsia" w:ascii="宋体" w:hAnsi="宋体" w:cs="宋体"/>
          <w:kern w:val="0"/>
          <w:sz w:val="24"/>
          <w:szCs w:val="24"/>
          <w:lang w:val="en-US" w:eastAsia="zh-CN" w:bidi="ar"/>
        </w:rPr>
        <w:t>份</w:t>
      </w:r>
      <w:r>
        <w:rPr>
          <w:rFonts w:hint="eastAsia" w:ascii="宋体" w:hAnsi="宋体" w:eastAsia="宋体" w:cs="宋体"/>
          <w:kern w:val="0"/>
          <w:sz w:val="24"/>
          <w:szCs w:val="24"/>
          <w:lang w:val="en-US" w:eastAsia="zh-CN" w:bidi="ar"/>
        </w:rPr>
        <w:t>，仲裁样备案一份。化验结果以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结果为结算依据（误差范围在±0.5%以内）。如双方品位偏差在±0.5%以上，双方进行协商解决，若协商不成，则可提取仲裁样至北京矿业研究总院仲裁。若仲裁结果在误差范围内，则以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化验结果作为最终结算依据；若仲裁结果超出误差范围，则以仲裁机构化验结果为基础，差异较小的化验结果为最终结算依据。仲裁费用由与仲裁结果差异较大的一方承担，若仲裁结果等于双方化验结果的平均值，则由提出仲裁的一方承担。</w:t>
      </w:r>
    </w:p>
    <w:p w14:paraId="27166B00">
      <w:pPr>
        <w:spacing w:line="360" w:lineRule="auto"/>
        <w:rPr>
          <w:rFonts w:hint="eastAsia" w:ascii="宋体" w:hAnsi="宋体" w:cs="宋体"/>
          <w:b/>
          <w:bCs/>
          <w:sz w:val="24"/>
        </w:rPr>
      </w:pPr>
      <w:r>
        <w:rPr>
          <w:rFonts w:hint="eastAsia" w:ascii="宋体" w:hAnsi="宋体" w:cs="宋体"/>
          <w:b/>
          <w:bCs/>
          <w:sz w:val="24"/>
        </w:rPr>
        <w:t>六、</w:t>
      </w:r>
      <w:r>
        <w:rPr>
          <w:rFonts w:hint="eastAsia" w:ascii="宋体" w:hAnsi="宋体" w:cs="宋体"/>
          <w:b/>
          <w:bCs/>
          <w:sz w:val="24"/>
          <w:lang w:val="en-US" w:eastAsia="zh-CN"/>
        </w:rPr>
        <w:t>履约</w:t>
      </w:r>
      <w:r>
        <w:rPr>
          <w:rFonts w:hint="eastAsia" w:ascii="宋体" w:hAnsi="宋体" w:cs="宋体"/>
          <w:b/>
          <w:bCs/>
          <w:sz w:val="24"/>
        </w:rPr>
        <w:t>保证金：</w:t>
      </w:r>
    </w:p>
    <w:p w14:paraId="09F6EB37">
      <w:pPr>
        <w:spacing w:line="360" w:lineRule="auto"/>
        <w:ind w:firstLine="480" w:firstLineChars="200"/>
        <w:rPr>
          <w:rFonts w:hint="eastAsia" w:ascii="宋体" w:hAnsi="宋体" w:cs="宋体"/>
          <w:sz w:val="24"/>
        </w:rPr>
      </w:pPr>
      <w:r>
        <w:rPr>
          <w:rFonts w:hint="eastAsia" w:ascii="宋体" w:hAnsi="宋体" w:cs="宋体"/>
          <w:sz w:val="24"/>
        </w:rPr>
        <w:t>中标方须向</w:t>
      </w:r>
      <w:r>
        <w:rPr>
          <w:rFonts w:hint="eastAsia" w:ascii="宋体" w:hAnsi="宋体" w:cs="宋体"/>
          <w:sz w:val="24"/>
          <w:lang w:val="en-US" w:eastAsia="zh-CN"/>
        </w:rPr>
        <w:t>张家港铜业</w:t>
      </w:r>
      <w:r>
        <w:rPr>
          <w:rFonts w:hint="eastAsia" w:ascii="宋体" w:hAnsi="宋体" w:cs="宋体"/>
          <w:sz w:val="24"/>
        </w:rPr>
        <w:t>缴纳人民币拾万元(¥</w:t>
      </w:r>
      <w:r>
        <w:rPr>
          <w:rFonts w:hint="eastAsia" w:ascii="宋体" w:hAnsi="宋体" w:cs="宋体"/>
          <w:sz w:val="24"/>
          <w:lang w:val="en-US" w:eastAsia="zh-CN"/>
        </w:rPr>
        <w:t>1</w:t>
      </w:r>
      <w:r>
        <w:rPr>
          <w:rFonts w:hint="eastAsia" w:ascii="宋体" w:hAnsi="宋体" w:cs="宋体"/>
          <w:sz w:val="24"/>
        </w:rPr>
        <w:t>00,000.00）作为</w:t>
      </w:r>
      <w:r>
        <w:rPr>
          <w:rFonts w:hint="eastAsia" w:ascii="宋体" w:hAnsi="宋体" w:cs="宋体"/>
          <w:sz w:val="24"/>
          <w:lang w:val="en-US" w:eastAsia="zh-CN"/>
        </w:rPr>
        <w:t>履约</w:t>
      </w:r>
      <w:r>
        <w:rPr>
          <w:rFonts w:hint="eastAsia" w:ascii="宋体" w:hAnsi="宋体" w:cs="宋体"/>
          <w:sz w:val="24"/>
        </w:rPr>
        <w:t>保证金，</w:t>
      </w:r>
      <w:r>
        <w:rPr>
          <w:rFonts w:hint="eastAsia" w:ascii="宋体" w:hAnsi="宋体" w:cs="宋体"/>
          <w:sz w:val="24"/>
          <w:lang w:val="en-US" w:eastAsia="zh-CN"/>
        </w:rPr>
        <w:t>合同执行完成后，张家港铜业无息退回保证金或转为货款。</w:t>
      </w:r>
      <w:r>
        <w:rPr>
          <w:rFonts w:hint="eastAsia" w:ascii="宋体" w:hAnsi="宋体" w:cs="宋体"/>
          <w:sz w:val="24"/>
        </w:rPr>
        <w:t>如因中标方原因在</w:t>
      </w:r>
      <w:r>
        <w:rPr>
          <w:rFonts w:hint="eastAsia" w:ascii="宋体" w:hAnsi="宋体" w:cs="宋体"/>
          <w:sz w:val="24"/>
          <w:lang w:val="en-US" w:eastAsia="zh-CN"/>
        </w:rPr>
        <w:t>合同期内</w:t>
      </w:r>
      <w:r>
        <w:rPr>
          <w:rFonts w:hint="eastAsia" w:ascii="宋体" w:hAnsi="宋体" w:cs="宋体"/>
          <w:sz w:val="24"/>
        </w:rPr>
        <w:t>未能完成转移或提货，</w:t>
      </w:r>
      <w:r>
        <w:rPr>
          <w:rFonts w:hint="eastAsia" w:ascii="宋体" w:hAnsi="宋体" w:cs="宋体"/>
          <w:sz w:val="24"/>
          <w:lang w:val="en-US" w:eastAsia="zh-CN"/>
        </w:rPr>
        <w:t>张家港铜业</w:t>
      </w:r>
      <w:r>
        <w:rPr>
          <w:rFonts w:hint="eastAsia" w:ascii="宋体" w:hAnsi="宋体" w:cs="宋体"/>
          <w:sz w:val="24"/>
        </w:rPr>
        <w:t>有权全额没收</w:t>
      </w:r>
      <w:r>
        <w:rPr>
          <w:rFonts w:hint="eastAsia" w:ascii="宋体" w:hAnsi="宋体" w:cs="宋体"/>
          <w:sz w:val="24"/>
          <w:lang w:val="en-US" w:eastAsia="zh-CN"/>
        </w:rPr>
        <w:t>履约</w:t>
      </w:r>
      <w:r>
        <w:rPr>
          <w:rFonts w:hint="eastAsia" w:ascii="宋体" w:hAnsi="宋体" w:cs="宋体"/>
          <w:sz w:val="24"/>
        </w:rPr>
        <w:t>保证金。</w:t>
      </w:r>
    </w:p>
    <w:p w14:paraId="21891A19">
      <w:pPr>
        <w:numPr>
          <w:ilvl w:val="0"/>
          <w:numId w:val="3"/>
        </w:numPr>
        <w:spacing w:line="360" w:lineRule="auto"/>
        <w:rPr>
          <w:rFonts w:hint="eastAsia" w:ascii="宋体" w:hAnsi="宋体" w:cs="宋体"/>
          <w:b/>
          <w:bCs/>
          <w:sz w:val="24"/>
        </w:rPr>
      </w:pPr>
      <w:r>
        <w:rPr>
          <w:rFonts w:hint="eastAsia" w:ascii="宋体" w:hAnsi="宋体" w:cs="宋体"/>
          <w:b/>
          <w:bCs/>
          <w:sz w:val="24"/>
        </w:rPr>
        <w:t>违约责任：</w:t>
      </w:r>
    </w:p>
    <w:p w14:paraId="720373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b w:val="0"/>
          <w:bCs w:val="0"/>
          <w:kern w:val="0"/>
          <w:sz w:val="24"/>
          <w:szCs w:val="24"/>
          <w:lang w:val="en-US" w:eastAsia="zh-CN" w:bidi="ar"/>
        </w:rPr>
      </w:pPr>
      <w:r>
        <w:rPr>
          <w:rFonts w:hint="eastAsia" w:cs="宋体"/>
          <w:b w:val="0"/>
          <w:bCs w:val="0"/>
          <w:kern w:val="0"/>
          <w:sz w:val="24"/>
          <w:szCs w:val="24"/>
          <w:lang w:val="en-US" w:eastAsia="zh-CN" w:bidi="ar"/>
        </w:rPr>
        <w:t>1、</w:t>
      </w:r>
      <w:r>
        <w:rPr>
          <w:rFonts w:hint="eastAsia" w:ascii="宋体" w:hAnsi="宋体" w:eastAsia="宋体" w:cs="宋体"/>
          <w:b w:val="0"/>
          <w:bCs w:val="0"/>
          <w:kern w:val="0"/>
          <w:sz w:val="24"/>
          <w:szCs w:val="24"/>
          <w:lang w:val="en-US" w:eastAsia="zh-CN" w:bidi="ar"/>
        </w:rPr>
        <w:t>在</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厂区内，若因</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的过失，造成</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财产受损或</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人员伤害时，</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应负全部责任。若因</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的过失，造成</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财产受损或</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人员伤害时，</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应负全部责任。</w:t>
      </w:r>
    </w:p>
    <w:p w14:paraId="60973D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
        </w:rPr>
        <w:t>2</w:t>
      </w:r>
      <w:r>
        <w:rPr>
          <w:rFonts w:hint="eastAsia" w:ascii="宋体" w:hAnsi="宋体" w:cs="宋体"/>
          <w:b w:val="0"/>
          <w:bCs w:val="0"/>
          <w:kern w:val="0"/>
          <w:sz w:val="24"/>
          <w:szCs w:val="24"/>
          <w:lang w:val="en-US" w:eastAsia="zh-CN" w:bidi="ar"/>
        </w:rPr>
        <w:t>、</w:t>
      </w:r>
      <w:r>
        <w:rPr>
          <w:rFonts w:hint="eastAsia"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或</w:t>
      </w:r>
      <w:r>
        <w:rPr>
          <w:rFonts w:hint="eastAsia" w:cs="宋体"/>
          <w:b w:val="0"/>
          <w:bCs w:val="0"/>
          <w:kern w:val="0"/>
          <w:sz w:val="24"/>
          <w:szCs w:val="24"/>
          <w:lang w:val="en-US" w:eastAsia="zh-CN" w:bidi="ar"/>
        </w:rPr>
        <w:t>中标方</w:t>
      </w:r>
      <w:r>
        <w:rPr>
          <w:rFonts w:hint="eastAsia" w:ascii="宋体" w:hAnsi="宋体" w:eastAsia="宋体" w:cs="宋体"/>
          <w:sz w:val="24"/>
          <w:szCs w:val="24"/>
        </w:rPr>
        <w:t>的工作人员给</w:t>
      </w:r>
      <w:r>
        <w:rPr>
          <w:rFonts w:hint="eastAsia" w:ascii="宋体" w:hAnsi="宋体" w:cs="宋体"/>
          <w:sz w:val="24"/>
          <w:lang w:val="en-US" w:eastAsia="zh-CN"/>
        </w:rPr>
        <w:t>张家港铜业</w:t>
      </w:r>
      <w:r>
        <w:rPr>
          <w:rFonts w:hint="eastAsia" w:ascii="宋体" w:hAnsi="宋体" w:eastAsia="宋体" w:cs="宋体"/>
          <w:sz w:val="24"/>
          <w:szCs w:val="24"/>
        </w:rPr>
        <w:t>或</w:t>
      </w:r>
      <w:r>
        <w:rPr>
          <w:rFonts w:hint="eastAsia" w:ascii="宋体" w:hAnsi="宋体" w:cs="宋体"/>
          <w:sz w:val="24"/>
          <w:lang w:val="en-US" w:eastAsia="zh-CN"/>
        </w:rPr>
        <w:t>张家港铜业</w:t>
      </w:r>
      <w:r>
        <w:rPr>
          <w:rFonts w:hint="eastAsia" w:ascii="宋体" w:hAnsi="宋体" w:eastAsia="宋体" w:cs="宋体"/>
          <w:sz w:val="24"/>
          <w:szCs w:val="24"/>
        </w:rPr>
        <w:t>的雇员或其他任何第三方造成人身损害或财产损失的，</w:t>
      </w:r>
      <w:r>
        <w:rPr>
          <w:rFonts w:hint="eastAsia" w:cs="宋体"/>
          <w:sz w:val="24"/>
          <w:szCs w:val="24"/>
          <w:lang w:val="en-US" w:eastAsia="zh-CN"/>
        </w:rPr>
        <w:t>中标方</w:t>
      </w:r>
      <w:r>
        <w:rPr>
          <w:rFonts w:hint="eastAsia" w:ascii="宋体" w:hAnsi="宋体" w:eastAsia="宋体" w:cs="宋体"/>
          <w:sz w:val="24"/>
          <w:szCs w:val="24"/>
        </w:rPr>
        <w:t>应负责赔偿，</w:t>
      </w:r>
      <w:r>
        <w:rPr>
          <w:rFonts w:hint="eastAsia" w:ascii="宋体" w:hAnsi="宋体" w:cs="宋体"/>
          <w:sz w:val="24"/>
          <w:lang w:val="en-US" w:eastAsia="zh-CN"/>
        </w:rPr>
        <w:t>张家港铜业</w:t>
      </w:r>
      <w:r>
        <w:rPr>
          <w:rFonts w:hint="eastAsia" w:cs="宋体"/>
          <w:sz w:val="24"/>
          <w:szCs w:val="24"/>
          <w:lang w:val="en-US" w:eastAsia="zh-CN"/>
        </w:rPr>
        <w:t>有权对中标方</w:t>
      </w:r>
      <w:r>
        <w:rPr>
          <w:rFonts w:hint="eastAsia" w:ascii="宋体" w:hAnsi="宋体" w:eastAsia="宋体" w:cs="宋体"/>
          <w:sz w:val="24"/>
          <w:szCs w:val="24"/>
        </w:rPr>
        <w:t>的</w:t>
      </w:r>
      <w:r>
        <w:rPr>
          <w:rFonts w:hint="eastAsia" w:cs="宋体"/>
          <w:sz w:val="24"/>
          <w:szCs w:val="24"/>
          <w:lang w:val="en-US" w:eastAsia="zh-CN"/>
        </w:rPr>
        <w:t>预付</w:t>
      </w:r>
      <w:r>
        <w:rPr>
          <w:rFonts w:hint="eastAsia" w:ascii="宋体" w:hAnsi="宋体" w:eastAsia="宋体" w:cs="宋体"/>
          <w:sz w:val="24"/>
          <w:szCs w:val="24"/>
        </w:rPr>
        <w:t>款项中直接扣除相应赔偿金。</w:t>
      </w:r>
    </w:p>
    <w:p w14:paraId="038859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cs="宋体"/>
          <w:b/>
          <w:bCs/>
          <w:sz w:val="24"/>
          <w:lang w:eastAsia="zh-CN"/>
        </w:rPr>
      </w:pPr>
      <w:r>
        <w:rPr>
          <w:rFonts w:hint="eastAsia" w:ascii="宋体" w:hAnsi="宋体" w:cs="宋体"/>
          <w:sz w:val="24"/>
          <w:szCs w:val="24"/>
          <w:lang w:val="en-US" w:eastAsia="zh-CN"/>
        </w:rPr>
        <w:t>3、</w:t>
      </w:r>
      <w:r>
        <w:rPr>
          <w:rFonts w:hint="eastAsia" w:cs="宋体"/>
          <w:sz w:val="24"/>
          <w:szCs w:val="24"/>
          <w:lang w:val="en-US" w:eastAsia="zh-CN"/>
        </w:rPr>
        <w:t>中标方</w:t>
      </w:r>
      <w:r>
        <w:rPr>
          <w:rFonts w:hint="eastAsia" w:ascii="宋体" w:hAnsi="宋体" w:eastAsia="宋体" w:cs="宋体"/>
          <w:sz w:val="24"/>
          <w:szCs w:val="24"/>
        </w:rPr>
        <w:t>保证废弃物因操作不当而造成整个处理过程中某个环节的任何泄漏与污染，均由</w:t>
      </w:r>
      <w:r>
        <w:rPr>
          <w:rFonts w:hint="eastAsia" w:cs="宋体"/>
          <w:sz w:val="24"/>
          <w:szCs w:val="24"/>
          <w:lang w:val="en-US" w:eastAsia="zh-CN"/>
        </w:rPr>
        <w:t>中标方</w:t>
      </w:r>
      <w:r>
        <w:rPr>
          <w:rFonts w:hint="eastAsia" w:ascii="宋体" w:hAnsi="宋体" w:eastAsia="宋体" w:cs="宋体"/>
          <w:sz w:val="24"/>
          <w:szCs w:val="24"/>
        </w:rPr>
        <w:t>负责协调解决，若由此造成</w:t>
      </w:r>
      <w:r>
        <w:rPr>
          <w:rFonts w:hint="eastAsia" w:ascii="宋体" w:hAnsi="宋体" w:cs="宋体"/>
          <w:sz w:val="24"/>
          <w:lang w:val="en-US" w:eastAsia="zh-CN"/>
        </w:rPr>
        <w:t>张家港铜业</w:t>
      </w:r>
      <w:r>
        <w:rPr>
          <w:rFonts w:hint="eastAsia" w:ascii="宋体" w:hAnsi="宋体" w:eastAsia="宋体" w:cs="宋体"/>
          <w:sz w:val="24"/>
          <w:szCs w:val="24"/>
        </w:rPr>
        <w:t>损失（包括但不限于因此受政府部门罚款等）的，</w:t>
      </w:r>
      <w:r>
        <w:rPr>
          <w:rFonts w:hint="eastAsia" w:cs="宋体"/>
          <w:sz w:val="24"/>
          <w:szCs w:val="24"/>
          <w:lang w:val="en-US" w:eastAsia="zh-CN"/>
        </w:rPr>
        <w:t>中标方</w:t>
      </w:r>
      <w:r>
        <w:rPr>
          <w:rFonts w:hint="eastAsia" w:ascii="宋体" w:hAnsi="宋体" w:eastAsia="宋体" w:cs="宋体"/>
          <w:sz w:val="24"/>
          <w:szCs w:val="24"/>
        </w:rPr>
        <w:t>应负责赔偿。</w:t>
      </w:r>
    </w:p>
    <w:p w14:paraId="06E1F907">
      <w:pPr>
        <w:spacing w:line="360" w:lineRule="auto"/>
        <w:rPr>
          <w:rFonts w:hint="eastAsia" w:ascii="宋体" w:hAnsi="宋体" w:cs="宋体"/>
          <w:b/>
          <w:bCs/>
          <w:sz w:val="24"/>
        </w:rPr>
      </w:pPr>
      <w:r>
        <w:rPr>
          <w:rFonts w:hint="eastAsia" w:ascii="宋体" w:hAnsi="宋体" w:cs="宋体"/>
          <w:b/>
          <w:bCs/>
          <w:sz w:val="24"/>
          <w:lang w:val="en-US" w:eastAsia="zh-CN"/>
        </w:rPr>
        <w:t>八</w:t>
      </w:r>
      <w:r>
        <w:rPr>
          <w:rFonts w:hint="eastAsia" w:ascii="宋体" w:hAnsi="宋体" w:cs="宋体"/>
          <w:b/>
          <w:bCs/>
          <w:sz w:val="24"/>
        </w:rPr>
        <w:t>、其他</w:t>
      </w:r>
    </w:p>
    <w:p w14:paraId="0E5712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设有标底，报价低于标底视为无效投标。</w:t>
      </w:r>
    </w:p>
    <w:p w14:paraId="5EB4B8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2、评标委员会将推荐满足本</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文件要求，本次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项目最多接收1家中标；</w:t>
      </w:r>
    </w:p>
    <w:p w14:paraId="1B37F2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3、评标办法：</w:t>
      </w:r>
      <w:r>
        <w:rPr>
          <w:rFonts w:hint="eastAsia" w:ascii="宋体" w:hAnsi="宋体" w:cs="宋体"/>
          <w:color w:val="000000"/>
          <w:kern w:val="0"/>
          <w:sz w:val="24"/>
          <w:szCs w:val="24"/>
          <w:lang w:val="en-US" w:eastAsia="zh-CN" w:bidi="ar-SA"/>
        </w:rPr>
        <w:t>1、投标方按计价系数投标；</w:t>
      </w:r>
    </w:p>
    <w:p w14:paraId="7F9345EB">
      <w:pPr>
        <w:keepNext w:val="0"/>
        <w:keepLines w:val="0"/>
        <w:pageBreakBefore w:val="0"/>
        <w:widowControl w:val="0"/>
        <w:kinsoku/>
        <w:wordWrap/>
        <w:overflowPunct/>
        <w:topLinePunct w:val="0"/>
        <w:autoSpaceDE/>
        <w:autoSpaceDN/>
        <w:bidi w:val="0"/>
        <w:adjustRightInd/>
        <w:snapToGrid/>
        <w:spacing w:line="480" w:lineRule="exact"/>
        <w:ind w:firstLine="1680" w:firstLineChars="7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项目，</w:t>
      </w:r>
      <w:r>
        <w:rPr>
          <w:rFonts w:hint="eastAsia" w:ascii="宋体" w:hAnsi="宋体" w:eastAsia="宋体" w:cs="宋体"/>
          <w:b/>
          <w:bCs/>
          <w:color w:val="FF0000"/>
          <w:kern w:val="0"/>
          <w:sz w:val="24"/>
          <w:szCs w:val="24"/>
          <w:highlight w:val="yellow"/>
          <w:lang w:val="en-US" w:eastAsia="zh-CN" w:bidi="ar-SA"/>
        </w:rPr>
        <w:t>报价</w:t>
      </w:r>
      <w:r>
        <w:rPr>
          <w:rFonts w:hint="eastAsia" w:ascii="宋体" w:hAnsi="宋体" w:cs="宋体"/>
          <w:b/>
          <w:bCs/>
          <w:color w:val="FF0000"/>
          <w:kern w:val="0"/>
          <w:sz w:val="24"/>
          <w:szCs w:val="24"/>
          <w:highlight w:val="yellow"/>
          <w:lang w:val="en-US" w:eastAsia="zh-CN" w:bidi="ar-SA"/>
        </w:rPr>
        <w:t>系数</w:t>
      </w:r>
      <w:r>
        <w:rPr>
          <w:rFonts w:hint="eastAsia" w:ascii="宋体" w:hAnsi="宋体" w:eastAsia="宋体" w:cs="宋体"/>
          <w:b/>
          <w:bCs/>
          <w:color w:val="FF0000"/>
          <w:kern w:val="0"/>
          <w:sz w:val="24"/>
          <w:szCs w:val="24"/>
          <w:highlight w:val="yellow"/>
          <w:lang w:val="en-US" w:eastAsia="zh-CN" w:bidi="ar-SA"/>
        </w:rPr>
        <w:t>最高者得</w:t>
      </w:r>
      <w:r>
        <w:rPr>
          <w:rFonts w:hint="eastAsia" w:ascii="宋体" w:hAnsi="宋体" w:eastAsia="宋体" w:cs="宋体"/>
          <w:color w:val="000000"/>
          <w:kern w:val="0"/>
          <w:sz w:val="24"/>
          <w:szCs w:val="24"/>
          <w:lang w:val="en-US" w:eastAsia="zh-CN" w:bidi="ar-SA"/>
        </w:rPr>
        <w:t>；</w:t>
      </w:r>
    </w:p>
    <w:p w14:paraId="7721388C">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九、报价文件接收单位及相关联系人：</w:t>
      </w:r>
    </w:p>
    <w:p w14:paraId="6B09D9AD">
      <w:pPr>
        <w:spacing w:line="360" w:lineRule="auto"/>
        <w:ind w:firstLine="360" w:firstLineChars="150"/>
        <w:rPr>
          <w:rFonts w:hint="eastAsia" w:ascii="宋体" w:hAnsi="宋体"/>
          <w:sz w:val="24"/>
        </w:rPr>
      </w:pPr>
      <w:r>
        <w:rPr>
          <w:rFonts w:hint="eastAsia" w:ascii="宋体" w:hAnsi="宋体"/>
          <w:sz w:val="24"/>
        </w:rPr>
        <w:t xml:space="preserve">  文件提交地址：张家港市锦丰镇三兴街道2202号，张家港联合铜业有限公司</w:t>
      </w:r>
      <w:r>
        <w:rPr>
          <w:rFonts w:hint="eastAsia" w:ascii="宋体" w:hAnsi="宋体"/>
          <w:sz w:val="24"/>
          <w:lang w:val="en-US" w:eastAsia="zh-CN"/>
        </w:rPr>
        <w:t>综合部</w:t>
      </w:r>
      <w:r>
        <w:rPr>
          <w:rFonts w:hint="eastAsia" w:ascii="宋体" w:hAnsi="宋体"/>
          <w:sz w:val="24"/>
        </w:rPr>
        <w:t xml:space="preserve">招标办；邮编：215624 </w:t>
      </w:r>
    </w:p>
    <w:p w14:paraId="2605CE61">
      <w:pPr>
        <w:spacing w:line="360" w:lineRule="auto"/>
        <w:ind w:firstLine="360" w:firstLineChars="150"/>
        <w:rPr>
          <w:rFonts w:hint="default" w:ascii="宋体" w:hAnsi="宋体" w:eastAsia="宋体"/>
          <w:sz w:val="24"/>
          <w:lang w:val="en-US" w:eastAsia="zh-CN"/>
        </w:rPr>
      </w:pPr>
      <w:r>
        <w:rPr>
          <w:rFonts w:hint="eastAsia" w:ascii="宋体" w:hAnsi="宋体"/>
          <w:sz w:val="24"/>
        </w:rPr>
        <w:t>投标截止日期</w:t>
      </w:r>
      <w:r>
        <w:rPr>
          <w:rFonts w:hint="eastAsia" w:ascii="宋体" w:hAnsi="宋体"/>
          <w:sz w:val="24"/>
          <w:lang w:eastAsia="zh-CN"/>
        </w:rPr>
        <w:t>：</w:t>
      </w:r>
      <w:r>
        <w:rPr>
          <w:rFonts w:hint="eastAsia" w:ascii="宋体" w:hAnsi="宋体"/>
          <w:sz w:val="24"/>
          <w:lang w:val="en-US" w:eastAsia="zh-CN"/>
        </w:rPr>
        <w:t>2025年6月4日上午9:00</w:t>
      </w:r>
    </w:p>
    <w:p w14:paraId="129D572D">
      <w:pPr>
        <w:spacing w:line="360" w:lineRule="auto"/>
        <w:ind w:firstLine="360" w:firstLineChars="150"/>
        <w:rPr>
          <w:rFonts w:hint="eastAsia" w:ascii="宋体" w:hAnsi="宋体"/>
          <w:sz w:val="24"/>
        </w:rPr>
      </w:pPr>
      <w:r>
        <w:rPr>
          <w:rFonts w:hint="eastAsia" w:ascii="宋体" w:hAnsi="宋体"/>
          <w:sz w:val="24"/>
        </w:rPr>
        <w:t>接收时间：投标截止日期前每天上午8：00至11：30，下午13：30至16：30，节假日除外。</w:t>
      </w:r>
    </w:p>
    <w:p w14:paraId="6E35CAE0">
      <w:pPr>
        <w:spacing w:line="360" w:lineRule="auto"/>
        <w:ind w:firstLine="360" w:firstLineChars="150"/>
        <w:rPr>
          <w:rFonts w:hint="eastAsia" w:ascii="宋体" w:hAnsi="宋体"/>
          <w:sz w:val="24"/>
          <w:lang w:val="en-US" w:eastAsia="zh-CN"/>
        </w:rPr>
      </w:pPr>
      <w:r>
        <w:rPr>
          <w:rFonts w:hint="eastAsia" w:ascii="宋体" w:hAnsi="宋体"/>
          <w:sz w:val="24"/>
          <w:lang w:val="en-US" w:eastAsia="zh-CN"/>
        </w:rPr>
        <w:t>报价截止日期：</w:t>
      </w:r>
    </w:p>
    <w:p w14:paraId="689E2391">
      <w:pPr>
        <w:spacing w:line="360" w:lineRule="auto"/>
        <w:ind w:firstLine="360" w:firstLineChars="150"/>
        <w:rPr>
          <w:rFonts w:hint="default" w:ascii="宋体" w:hAnsi="宋体" w:eastAsia="宋体"/>
          <w:sz w:val="24"/>
          <w:lang w:val="en-US" w:eastAsia="zh-CN"/>
        </w:rPr>
      </w:pPr>
      <w:r>
        <w:rPr>
          <w:rFonts w:hint="eastAsia" w:ascii="宋体" w:hAnsi="宋体"/>
          <w:sz w:val="24"/>
        </w:rPr>
        <w:t>投标联系人：侯燕州（0512-585</w:t>
      </w:r>
      <w:r>
        <w:rPr>
          <w:rFonts w:hint="eastAsia" w:ascii="宋体" w:hAnsi="宋体"/>
          <w:sz w:val="24"/>
          <w:lang w:val="en-US" w:eastAsia="zh-CN"/>
        </w:rPr>
        <w:t>72608）</w:t>
      </w:r>
    </w:p>
    <w:p w14:paraId="6BC505B0">
      <w:pPr>
        <w:spacing w:line="360" w:lineRule="auto"/>
        <w:ind w:firstLine="360" w:firstLineChars="150"/>
        <w:rPr>
          <w:rFonts w:hint="eastAsia" w:ascii="宋体" w:hAnsi="宋体"/>
          <w:sz w:val="24"/>
        </w:rPr>
      </w:pPr>
      <w:r>
        <w:rPr>
          <w:rFonts w:hint="eastAsia" w:ascii="宋体" w:hAnsi="宋体"/>
          <w:sz w:val="24"/>
        </w:rPr>
        <w:t>业务咨询联系人：</w:t>
      </w:r>
      <w:r>
        <w:rPr>
          <w:rFonts w:hint="eastAsia" w:ascii="宋体" w:hAnsi="宋体"/>
          <w:sz w:val="24"/>
          <w:lang w:val="en-US" w:eastAsia="zh-CN"/>
        </w:rPr>
        <w:t>商务部 王恺</w:t>
      </w:r>
      <w:r>
        <w:rPr>
          <w:rFonts w:hint="eastAsia" w:ascii="宋体" w:hAnsi="宋体"/>
          <w:sz w:val="24"/>
        </w:rPr>
        <w:t>（0512-585</w:t>
      </w:r>
      <w:r>
        <w:rPr>
          <w:rFonts w:hint="eastAsia" w:ascii="宋体" w:hAnsi="宋体"/>
          <w:sz w:val="24"/>
          <w:lang w:val="en-US" w:eastAsia="zh-CN"/>
        </w:rPr>
        <w:t>38927</w:t>
      </w:r>
      <w:r>
        <w:rPr>
          <w:rFonts w:hint="eastAsia" w:ascii="宋体" w:hAnsi="宋体"/>
          <w:sz w:val="24"/>
        </w:rPr>
        <w:t>）</w:t>
      </w:r>
    </w:p>
    <w:p w14:paraId="10C0DF69">
      <w:pPr>
        <w:spacing w:line="360" w:lineRule="auto"/>
        <w:ind w:firstLine="361" w:firstLineChars="150"/>
        <w:rPr>
          <w:rFonts w:hint="eastAsia" w:ascii="宋体" w:hAnsi="宋体"/>
          <w:b/>
          <w:bCs/>
          <w:color w:val="FF0000"/>
          <w:sz w:val="24"/>
          <w:highlight w:val="yellow"/>
        </w:rPr>
        <w:sectPr>
          <w:footerReference r:id="rId3" w:type="default"/>
          <w:footerReference r:id="rId4" w:type="even"/>
          <w:pgSz w:w="11906" w:h="16838"/>
          <w:pgMar w:top="568" w:right="1469" w:bottom="1247" w:left="1338" w:header="851" w:footer="851" w:gutter="284"/>
          <w:cols w:space="720" w:num="1"/>
          <w:docGrid w:type="lines" w:linePitch="312" w:charSpace="0"/>
        </w:sectPr>
      </w:pPr>
      <w:r>
        <w:rPr>
          <w:rFonts w:hint="eastAsia" w:ascii="宋体" w:hAnsi="宋体"/>
          <w:b/>
          <w:bCs/>
          <w:color w:val="FF0000"/>
          <w:sz w:val="24"/>
          <w:highlight w:val="yellow"/>
        </w:rPr>
        <w:t>注：所有的投标材料只接收快递邮寄的形式，且快递包装外注明竞价项目名称及编号。不接收私人上门送达投标材料，否则将被视为无效报价。</w:t>
      </w:r>
    </w:p>
    <w:p w14:paraId="76F843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F6E19-8B3E-4F0D-AC83-CDA5FB2507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218B79-9E88-40E3-B38D-F80669D2DD88}"/>
  </w:font>
  <w:font w:name="汉仪书宋二简">
    <w:panose1 w:val="02010600000101010101"/>
    <w:charset w:val="86"/>
    <w:family w:val="auto"/>
    <w:pitch w:val="default"/>
    <w:sig w:usb0="00000001" w:usb1="080E0800" w:usb2="00000002" w:usb3="00000000" w:csb0="00040000" w:csb1="00000000"/>
    <w:embedRegular r:id="rId3" w:fontKey="{2B58858C-1763-444B-8437-4A4EB4E9F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4E02">
    <w:pPr>
      <w:pStyle w:val="6"/>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3EAA7">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73EAA7">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AD90">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70CE7352">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FC7DF"/>
    <w:multiLevelType w:val="singleLevel"/>
    <w:tmpl w:val="FE1FC7DF"/>
    <w:lvl w:ilvl="0" w:tentative="0">
      <w:start w:val="7"/>
      <w:numFmt w:val="chineseCounting"/>
      <w:suff w:val="nothing"/>
      <w:lvlText w:val="%1、"/>
      <w:lvlJc w:val="left"/>
      <w:rPr>
        <w:rFonts w:hint="eastAsia"/>
      </w:rPr>
    </w:lvl>
  </w:abstractNum>
  <w:abstractNum w:abstractNumId="1">
    <w:nsid w:val="18632D9F"/>
    <w:multiLevelType w:val="singleLevel"/>
    <w:tmpl w:val="18632D9F"/>
    <w:lvl w:ilvl="0" w:tentative="0">
      <w:start w:val="1"/>
      <w:numFmt w:val="decimal"/>
      <w:suff w:val="nothing"/>
      <w:lvlText w:val="%1、"/>
      <w:lvlJc w:val="left"/>
    </w:lvl>
  </w:abstractNum>
  <w:abstractNum w:abstractNumId="2">
    <w:nsid w:val="42E221D7"/>
    <w:multiLevelType w:val="singleLevel"/>
    <w:tmpl w:val="42E221D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NkZTBiNjMzYTY2OTdmZjcwNzZmMjBjZWIwNGUifQ=="/>
  </w:docVars>
  <w:rsids>
    <w:rsidRoot w:val="00000000"/>
    <w:rsid w:val="067F15E0"/>
    <w:rsid w:val="0EB22E63"/>
    <w:rsid w:val="28CD582B"/>
    <w:rsid w:val="2C860CFF"/>
    <w:rsid w:val="2DE338DC"/>
    <w:rsid w:val="3DEF51E8"/>
    <w:rsid w:val="5AE51F75"/>
    <w:rsid w:val="5E8F68E1"/>
    <w:rsid w:val="5F20491C"/>
    <w:rsid w:val="7273453D"/>
    <w:rsid w:val="79DB255A"/>
    <w:rsid w:val="7B30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spacing w:before="240" w:beforeLines="0"/>
      <w:outlineLvl w:val="1"/>
    </w:pPr>
    <w:rPr>
      <w:rFonts w:ascii="黑体" w:eastAsia="黑体"/>
      <w:szCs w:val="24"/>
      <w:lang w:val="en-US" w:eastAsia="zh-CN" w:bidi="ar-SA"/>
    </w:rPr>
  </w:style>
  <w:style w:type="paragraph" w:styleId="3">
    <w:name w:val="heading 3"/>
    <w:basedOn w:val="1"/>
    <w:next w:val="1"/>
    <w:autoRedefine/>
    <w:qFormat/>
    <w:uiPriority w:val="0"/>
    <w:pPr>
      <w:spacing w:before="240" w:beforeLines="0" w:after="120" w:afterLines="0"/>
      <w:outlineLvl w:val="2"/>
    </w:pPr>
    <w:rPr>
      <w:szCs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rPr>
      <w:szCs w:val="24"/>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8">
    <w:name w:val="Body Text First Indent"/>
    <w:basedOn w:val="4"/>
    <w:next w:val="2"/>
    <w:autoRedefine/>
    <w:qFormat/>
    <w:uiPriority w:val="0"/>
    <w:pPr>
      <w:ind w:firstLine="420" w:firstLineChars="100"/>
    </w:pPr>
  </w:style>
  <w:style w:type="character" w:styleId="11">
    <w:name w:val="page number"/>
    <w:basedOn w:val="10"/>
    <w:autoRedefin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2239</Words>
  <Characters>2331</Characters>
  <Lines>0</Lines>
  <Paragraphs>0</Paragraphs>
  <TotalTime>4</TotalTime>
  <ScaleCrop>false</ScaleCrop>
  <LinksUpToDate>false</LinksUpToDate>
  <CharactersWithSpaces>2340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2023-03-30T03:28:00Z</dcterms:created>
  <dc:creator>user</dc:creator>
  <cp:lastModifiedBy>houyz</cp:lastModifiedBy>
  <dcterms:modified xsi:type="dcterms:W3CDTF">2025-05-28T03:14:11Z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E5EC8D8D24654B2AB6F72CB6E7FAD7A4_13</vt:lpwstr>
  </property>
  <property fmtid="{D5CDD505-2E9C-101B-9397-08002B2CF9AE}" pid="4" name="KSOTemplateDocerSaveRecord">
    <vt:lpwstr>eyJoZGlkIjoiMTRmYzA0ZjFkNGFiODM3ZTk4ODMzZWU1YjNjZTNkOTUiLCJ1c2VySWQiOiIyODYxNDcyMjAifQ==</vt:lpwstr>
  </property>
</Properties>
</file>