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81FC3B">
      <w:pPr>
        <w:spacing w:line="360" w:lineRule="auto"/>
        <w:jc w:val="center"/>
        <w:rPr>
          <w:rFonts w:hint="eastAsia" w:ascii="黑体" w:hAnsi="黑体" w:eastAsia="黑体"/>
          <w:b/>
          <w:sz w:val="36"/>
        </w:rPr>
      </w:pPr>
      <w:r>
        <w:rPr>
          <w:rFonts w:hint="eastAsia" w:ascii="黑体" w:hAnsi="黑体" w:eastAsia="黑体"/>
          <w:b/>
          <w:sz w:val="36"/>
        </w:rPr>
        <w:t>炭精采购邀请招标文件</w:t>
      </w:r>
    </w:p>
    <w:p w14:paraId="250EABA2">
      <w:pPr>
        <w:spacing w:line="360" w:lineRule="auto"/>
        <w:rPr>
          <w:rFonts w:hint="eastAsia"/>
          <w:sz w:val="24"/>
        </w:rPr>
      </w:pPr>
      <w:r>
        <w:rPr>
          <w:rFonts w:hint="eastAsia"/>
          <w:sz w:val="24"/>
        </w:rPr>
        <w:t>招标时间：2017年12月26日</w:t>
      </w:r>
    </w:p>
    <w:p w14:paraId="3C81A70F">
      <w:pPr>
        <w:spacing w:line="360" w:lineRule="auto"/>
        <w:rPr>
          <w:rFonts w:hint="eastAsia"/>
          <w:sz w:val="24"/>
        </w:rPr>
      </w:pPr>
      <w:r>
        <w:rPr>
          <w:rFonts w:hint="eastAsia"/>
          <w:sz w:val="24"/>
        </w:rPr>
        <w:t>招标编号：zhjg2017-1-31</w:t>
      </w:r>
    </w:p>
    <w:p w14:paraId="6936A028">
      <w:pPr>
        <w:spacing w:line="360" w:lineRule="auto"/>
        <w:rPr>
          <w:rFonts w:hint="eastAsia"/>
          <w:sz w:val="24"/>
        </w:rPr>
      </w:pPr>
      <w:r>
        <w:rPr>
          <w:rFonts w:hint="eastAsia"/>
          <w:sz w:val="24"/>
        </w:rPr>
        <w:t>招标人：张家港联合铜业有限公司</w:t>
      </w:r>
    </w:p>
    <w:p w14:paraId="534E694A">
      <w:pPr>
        <w:numPr>
          <w:ilvl w:val="0"/>
          <w:numId w:val="1"/>
        </w:numPr>
        <w:spacing w:line="360" w:lineRule="auto"/>
        <w:rPr>
          <w:rFonts w:hint="eastAsia"/>
          <w:b/>
          <w:sz w:val="24"/>
        </w:rPr>
      </w:pPr>
      <w:r>
        <w:rPr>
          <w:rFonts w:hint="eastAsia"/>
          <w:b/>
          <w:sz w:val="24"/>
        </w:rPr>
        <w:t>招标采购物资名称及内容</w:t>
      </w:r>
    </w:p>
    <w:p w14:paraId="5934A750">
      <w:pPr>
        <w:spacing w:line="360" w:lineRule="auto"/>
        <w:ind w:left="480"/>
        <w:rPr>
          <w:rFonts w:hint="eastAsia"/>
          <w:sz w:val="24"/>
        </w:rPr>
      </w:pPr>
      <w:r>
        <w:rPr>
          <w:rFonts w:hint="eastAsia"/>
          <w:sz w:val="24"/>
        </w:rPr>
        <w:t>招标采购物资名称：炭精</w:t>
      </w:r>
    </w:p>
    <w:p w14:paraId="198F704A">
      <w:pPr>
        <w:spacing w:line="360" w:lineRule="auto"/>
        <w:ind w:left="480"/>
        <w:rPr>
          <w:rFonts w:hint="eastAsia"/>
          <w:sz w:val="24"/>
        </w:rPr>
      </w:pPr>
      <w:r>
        <w:rPr>
          <w:rFonts w:hint="eastAsia"/>
          <w:sz w:val="24"/>
        </w:rPr>
        <w:t>采购数量：700吨</w:t>
      </w:r>
    </w:p>
    <w:p w14:paraId="46DB478C">
      <w:pPr>
        <w:tabs>
          <w:tab w:val="left" w:pos="540"/>
        </w:tabs>
        <w:spacing w:line="440" w:lineRule="exact"/>
        <w:ind w:left="1680" w:hanging="1680" w:hangingChars="700"/>
        <w:rPr>
          <w:rFonts w:hint="eastAsia"/>
          <w:sz w:val="24"/>
        </w:rPr>
      </w:pPr>
      <w:r>
        <w:rPr>
          <w:rFonts w:hint="eastAsia"/>
          <w:sz w:val="24"/>
        </w:rPr>
        <w:t xml:space="preserve">    供货时间：中标者自2018年8月6日起提供符合上述要求的炭精。具体交货时间和数量，必须由招标人根据实际生产需要，提前电话通知为准。</w:t>
      </w:r>
    </w:p>
    <w:p w14:paraId="6C9D0331">
      <w:pPr>
        <w:tabs>
          <w:tab w:val="left" w:pos="540"/>
        </w:tabs>
        <w:spacing w:line="440" w:lineRule="exact"/>
        <w:ind w:firstLine="480" w:firstLineChars="200"/>
        <w:rPr>
          <w:rFonts w:hint="eastAsia"/>
          <w:sz w:val="24"/>
        </w:rPr>
      </w:pPr>
      <w:r>
        <w:rPr>
          <w:rFonts w:hint="eastAsia"/>
          <w:sz w:val="24"/>
        </w:rPr>
        <w:t>交（提）货地点：招标人厂内仓库</w:t>
      </w:r>
    </w:p>
    <w:p w14:paraId="6784C455">
      <w:pPr>
        <w:spacing w:line="360" w:lineRule="auto"/>
        <w:rPr>
          <w:rFonts w:hint="eastAsia"/>
          <w:b/>
          <w:sz w:val="24"/>
        </w:rPr>
      </w:pPr>
      <w:r>
        <w:rPr>
          <w:rFonts w:hint="eastAsia"/>
          <w:sz w:val="24"/>
        </w:rPr>
        <w:t xml:space="preserve">  </w:t>
      </w:r>
      <w:r>
        <w:rPr>
          <w:rFonts w:hint="eastAsia"/>
          <w:b/>
          <w:sz w:val="24"/>
        </w:rPr>
        <w:t>二、投标供应商资格</w:t>
      </w:r>
    </w:p>
    <w:p w14:paraId="18E96EA6">
      <w:pPr>
        <w:spacing w:line="360" w:lineRule="auto"/>
        <w:ind w:firstLine="480" w:firstLineChars="200"/>
        <w:rPr>
          <w:rFonts w:hint="eastAsia"/>
          <w:sz w:val="24"/>
        </w:rPr>
      </w:pPr>
      <w:r>
        <w:rPr>
          <w:rFonts w:hint="eastAsia"/>
          <w:sz w:val="24"/>
        </w:rPr>
        <w:t>1、具有独立承担民事责任的能力；</w:t>
      </w:r>
    </w:p>
    <w:p w14:paraId="509F7A3E">
      <w:pPr>
        <w:spacing w:line="360" w:lineRule="auto"/>
        <w:ind w:firstLine="480" w:firstLineChars="200"/>
        <w:rPr>
          <w:rFonts w:hint="eastAsia"/>
          <w:sz w:val="24"/>
        </w:rPr>
      </w:pPr>
      <w:r>
        <w:rPr>
          <w:rFonts w:hint="eastAsia"/>
          <w:sz w:val="24"/>
        </w:rPr>
        <w:t>2、有依法交纳税收和社会保障资金的良好记录；</w:t>
      </w:r>
    </w:p>
    <w:p w14:paraId="3B4FACF0">
      <w:pPr>
        <w:spacing w:line="360" w:lineRule="auto"/>
        <w:ind w:firstLine="480" w:firstLineChars="200"/>
        <w:rPr>
          <w:rFonts w:hint="eastAsia"/>
          <w:sz w:val="24"/>
        </w:rPr>
      </w:pPr>
      <w:r>
        <w:rPr>
          <w:rFonts w:hint="eastAsia"/>
          <w:sz w:val="24"/>
        </w:rPr>
        <w:t>3、具有类似供应规模的业绩；</w:t>
      </w:r>
    </w:p>
    <w:p w14:paraId="165F5A60">
      <w:pPr>
        <w:spacing w:line="360" w:lineRule="auto"/>
        <w:ind w:firstLine="480" w:firstLineChars="200"/>
        <w:rPr>
          <w:rFonts w:hint="eastAsia"/>
          <w:sz w:val="24"/>
        </w:rPr>
      </w:pPr>
      <w:r>
        <w:rPr>
          <w:rFonts w:hint="eastAsia"/>
          <w:sz w:val="24"/>
        </w:rPr>
        <w:t>4、在市场经营活动中无重大违法记录。</w:t>
      </w:r>
    </w:p>
    <w:p w14:paraId="781A1372">
      <w:pPr>
        <w:spacing w:line="360" w:lineRule="auto"/>
        <w:rPr>
          <w:rFonts w:hint="eastAsia"/>
          <w:b/>
          <w:sz w:val="24"/>
        </w:rPr>
      </w:pPr>
      <w:r>
        <w:rPr>
          <w:rFonts w:hint="eastAsia"/>
          <w:b/>
          <w:sz w:val="24"/>
        </w:rPr>
        <w:t>三、投标说明</w:t>
      </w:r>
    </w:p>
    <w:p w14:paraId="1BF1DCAC">
      <w:pPr>
        <w:spacing w:line="360" w:lineRule="auto"/>
        <w:ind w:left="840" w:leftChars="228" w:hanging="361" w:hangingChars="150"/>
        <w:rPr>
          <w:rFonts w:hint="eastAsia"/>
          <w:sz w:val="24"/>
        </w:rPr>
      </w:pPr>
      <w:r>
        <w:rPr>
          <w:rFonts w:hint="eastAsia"/>
          <w:b/>
          <w:sz w:val="24"/>
        </w:rPr>
        <w:t xml:space="preserve">    </w:t>
      </w:r>
      <w:r>
        <w:rPr>
          <w:rFonts w:hint="eastAsia"/>
          <w:sz w:val="24"/>
        </w:rPr>
        <w:t>1、投标人要提供投标</w:t>
      </w:r>
      <w:r>
        <w:rPr>
          <w:rFonts w:hint="eastAsia" w:ascii="宋体"/>
          <w:sz w:val="24"/>
        </w:rPr>
        <w:t>文件正本一份及副本三份；</w:t>
      </w:r>
      <w:r>
        <w:rPr>
          <w:rFonts w:hint="eastAsia"/>
          <w:sz w:val="24"/>
        </w:rPr>
        <w:t>对技术条款和商务条款内容的响应情况，要</w:t>
      </w:r>
      <w:r>
        <w:rPr>
          <w:rFonts w:hint="eastAsia" w:ascii="宋体"/>
          <w:sz w:val="24"/>
        </w:rPr>
        <w:t>按第四章的响应/偏离表进行</w:t>
      </w:r>
      <w:r>
        <w:rPr>
          <w:rFonts w:hint="eastAsia"/>
          <w:sz w:val="24"/>
        </w:rPr>
        <w:t>说明。投标价格要在相应的表中填好，加盖公章后作为投标文件的有效组成部分。</w:t>
      </w:r>
    </w:p>
    <w:p w14:paraId="64105380">
      <w:pPr>
        <w:spacing w:line="360" w:lineRule="auto"/>
        <w:ind w:left="839" w:leftChars="228" w:hanging="360" w:hangingChars="150"/>
        <w:rPr>
          <w:rFonts w:hint="eastAsia"/>
          <w:sz w:val="24"/>
        </w:rPr>
      </w:pPr>
      <w:r>
        <w:rPr>
          <w:rFonts w:hint="eastAsia"/>
          <w:sz w:val="24"/>
        </w:rPr>
        <w:t>2、投标人务须将投标文件进行密封，并在外面注明参与投标的项目名称及投标人公司名称，在投标截止时间之前邮寄或送达指定地点，逾期送达或未送达指定地点的投标文件不予受理。</w:t>
      </w:r>
    </w:p>
    <w:p w14:paraId="58AB1716">
      <w:pPr>
        <w:spacing w:line="360" w:lineRule="auto"/>
        <w:ind w:left="839" w:leftChars="228" w:hanging="360" w:hangingChars="150"/>
        <w:rPr>
          <w:rFonts w:hint="eastAsia"/>
          <w:sz w:val="24"/>
        </w:rPr>
      </w:pPr>
      <w:r>
        <w:rPr>
          <w:rFonts w:hint="eastAsia"/>
          <w:sz w:val="24"/>
        </w:rPr>
        <w:t>3、投标人投标时须提交有效的营业执照、组织机构代码证、税务登记证、法定代表人身份证或委托人身份证，以上文件的复印件（加盖公司印章）一套，委托他人代理的要授权委托书一份。</w:t>
      </w:r>
    </w:p>
    <w:p w14:paraId="6BFECC73">
      <w:pPr>
        <w:spacing w:line="360" w:lineRule="auto"/>
        <w:ind w:left="839" w:leftChars="228" w:hanging="360" w:hangingChars="150"/>
        <w:rPr>
          <w:rFonts w:hint="eastAsia"/>
          <w:sz w:val="24"/>
        </w:rPr>
      </w:pPr>
      <w:r>
        <w:rPr>
          <w:rFonts w:hint="eastAsia"/>
          <w:sz w:val="24"/>
        </w:rPr>
        <w:t>4、其它需提供的资料有：</w:t>
      </w:r>
      <w:r>
        <w:rPr>
          <w:rFonts w:hint="eastAsia" w:ascii="宋体" w:cs="宋体"/>
          <w:sz w:val="24"/>
          <w:szCs w:val="24"/>
        </w:rPr>
        <w:t>近两年纳税证明，企业及法人无行贿犯罪档案记录证明，相关业绩证明等，所提供的</w:t>
      </w:r>
      <w:r>
        <w:rPr>
          <w:rFonts w:hint="eastAsia" w:ascii="宋体" w:hAnsi="宋体" w:cs="宋体"/>
          <w:sz w:val="24"/>
          <w:szCs w:val="24"/>
        </w:rPr>
        <w:t>售后响应时间和保障承诺等</w:t>
      </w:r>
      <w:r>
        <w:rPr>
          <w:rFonts w:hint="eastAsia" w:ascii="宋体" w:cs="宋体"/>
          <w:sz w:val="24"/>
          <w:szCs w:val="24"/>
        </w:rPr>
        <w:t>。</w:t>
      </w:r>
    </w:p>
    <w:p w14:paraId="603616C7">
      <w:pPr>
        <w:spacing w:line="360" w:lineRule="auto"/>
        <w:ind w:left="826" w:leftChars="222" w:hanging="360" w:hangingChars="150"/>
        <w:rPr>
          <w:rFonts w:hint="eastAsia"/>
          <w:sz w:val="24"/>
        </w:rPr>
      </w:pPr>
      <w:r>
        <w:rPr>
          <w:rFonts w:hint="eastAsia"/>
          <w:sz w:val="24"/>
        </w:rPr>
        <w:t>5、由本公司招标办按招标程序确定开标时间并组织人员进行议标，中标人接通知后与本公司商务部签订供货合同。</w:t>
      </w:r>
    </w:p>
    <w:p w14:paraId="653B99FB">
      <w:pPr>
        <w:numPr>
          <w:ilvl w:val="0"/>
          <w:numId w:val="2"/>
        </w:numPr>
        <w:spacing w:line="360" w:lineRule="auto"/>
        <w:rPr>
          <w:rFonts w:ascii="宋体" w:hAnsi="宋体" w:cs="宋体"/>
          <w:color w:val="000000"/>
          <w:sz w:val="28"/>
          <w:szCs w:val="28"/>
        </w:rPr>
      </w:pPr>
      <w:r>
        <w:rPr>
          <w:rFonts w:hint="eastAsia"/>
          <w:b/>
          <w:sz w:val="24"/>
        </w:rPr>
        <w:t>投标截止时间</w:t>
      </w:r>
    </w:p>
    <w:p w14:paraId="5D7DACE5">
      <w:pPr>
        <w:spacing w:line="360" w:lineRule="auto"/>
        <w:ind w:firstLine="480" w:firstLineChars="200"/>
        <w:rPr>
          <w:rFonts w:hint="eastAsia"/>
          <w:bCs/>
          <w:sz w:val="24"/>
        </w:rPr>
      </w:pPr>
      <w:r>
        <w:rPr>
          <w:rFonts w:hint="eastAsia"/>
          <w:bCs/>
          <w:sz w:val="24"/>
        </w:rPr>
        <w:t>2018年8月6日16：30时，</w:t>
      </w:r>
      <w:r>
        <w:rPr>
          <w:rFonts w:hint="eastAsia"/>
          <w:sz w:val="24"/>
        </w:rPr>
        <w:t>逾期送达或未送达指定地点的投标文件不予受理。</w:t>
      </w:r>
    </w:p>
    <w:p w14:paraId="3693C5F0">
      <w:pPr>
        <w:numPr>
          <w:ilvl w:val="0"/>
          <w:numId w:val="2"/>
        </w:numPr>
        <w:spacing w:line="360" w:lineRule="auto"/>
        <w:rPr>
          <w:rFonts w:hint="eastAsia" w:ascii="宋体" w:hAnsi="宋体" w:cs="宋体"/>
          <w:color w:val="000000"/>
          <w:sz w:val="28"/>
          <w:szCs w:val="28"/>
        </w:rPr>
      </w:pPr>
      <w:r>
        <w:rPr>
          <w:rFonts w:hint="eastAsia" w:ascii="宋体" w:hAnsi="宋体" w:cs="宋体"/>
          <w:b/>
          <w:color w:val="000000"/>
          <w:sz w:val="28"/>
          <w:szCs w:val="28"/>
        </w:rPr>
        <w:t>投标文件接收单位及联系人</w:t>
      </w:r>
      <w:r>
        <w:rPr>
          <w:rFonts w:hint="eastAsia" w:ascii="宋体" w:hAnsi="宋体" w:cs="宋体"/>
          <w:color w:val="000000"/>
          <w:sz w:val="28"/>
          <w:szCs w:val="28"/>
        </w:rPr>
        <w:t>：</w:t>
      </w:r>
    </w:p>
    <w:p w14:paraId="3671FA2B">
      <w:pPr>
        <w:spacing w:line="360" w:lineRule="auto"/>
        <w:ind w:left="479" w:leftChars="228"/>
        <w:rPr>
          <w:rFonts w:hint="eastAsia"/>
          <w:sz w:val="24"/>
        </w:rPr>
      </w:pPr>
      <w:r>
        <w:rPr>
          <w:rFonts w:hint="eastAsia"/>
          <w:sz w:val="24"/>
        </w:rPr>
        <w:t xml:space="preserve">标书提交地址：张家港市锦丰镇三兴街道200号，张家港联合铜业有限公司质量计量部（企管部）；邮编：215624 </w:t>
      </w:r>
    </w:p>
    <w:p w14:paraId="135CC727">
      <w:pPr>
        <w:spacing w:line="360" w:lineRule="auto"/>
        <w:ind w:left="479" w:leftChars="228"/>
        <w:rPr>
          <w:rFonts w:hint="eastAsia"/>
          <w:sz w:val="24"/>
        </w:rPr>
      </w:pPr>
      <w:r>
        <w:rPr>
          <w:rFonts w:hint="eastAsia"/>
          <w:bCs/>
          <w:sz w:val="24"/>
        </w:rPr>
        <w:t>接收时间：投标截止日期前每天上午8：00至11：30，</w:t>
      </w:r>
      <w:bookmarkStart w:id="4" w:name="_GoBack"/>
      <w:bookmarkEnd w:id="4"/>
      <w:r>
        <w:rPr>
          <w:rFonts w:hint="eastAsia"/>
          <w:bCs/>
          <w:sz w:val="24"/>
        </w:rPr>
        <w:t>13：30至16：30，节假日除外。</w:t>
      </w:r>
    </w:p>
    <w:p w14:paraId="43883596">
      <w:pPr>
        <w:spacing w:line="360" w:lineRule="auto"/>
        <w:ind w:firstLine="480" w:firstLineChars="200"/>
        <w:rPr>
          <w:rFonts w:hint="eastAsia"/>
          <w:sz w:val="24"/>
        </w:rPr>
      </w:pPr>
      <w:r>
        <w:rPr>
          <w:rFonts w:hint="eastAsia"/>
          <w:sz w:val="24"/>
        </w:rPr>
        <w:t>联系人：骆有健  联系电话：0512-58533020            传真：0512-58574100</w:t>
      </w:r>
    </w:p>
    <w:p w14:paraId="15DB9161">
      <w:pPr>
        <w:spacing w:line="360" w:lineRule="auto"/>
        <w:rPr>
          <w:rFonts w:hint="eastAsia"/>
          <w:sz w:val="24"/>
        </w:rPr>
      </w:pPr>
    </w:p>
    <w:p w14:paraId="01050EBB">
      <w:pPr>
        <w:spacing w:line="360" w:lineRule="auto"/>
        <w:ind w:firstLine="480" w:firstLineChars="200"/>
        <w:rPr>
          <w:rFonts w:hint="eastAsia"/>
          <w:sz w:val="24"/>
        </w:rPr>
      </w:pPr>
    </w:p>
    <w:p w14:paraId="44BA52A8">
      <w:pPr>
        <w:spacing w:line="360" w:lineRule="auto"/>
        <w:jc w:val="center"/>
        <w:rPr>
          <w:rFonts w:hint="eastAsia"/>
          <w:sz w:val="24"/>
        </w:rPr>
      </w:pPr>
    </w:p>
    <w:p w14:paraId="793C7983">
      <w:pPr>
        <w:spacing w:line="360" w:lineRule="auto"/>
        <w:jc w:val="center"/>
        <w:rPr>
          <w:rFonts w:hint="eastAsia"/>
          <w:b/>
          <w:sz w:val="32"/>
          <w:szCs w:val="32"/>
        </w:rPr>
      </w:pPr>
      <w:r>
        <w:rPr>
          <w:rFonts w:hint="eastAsia"/>
          <w:b/>
          <w:sz w:val="32"/>
          <w:szCs w:val="32"/>
        </w:rPr>
        <w:t>第二章 商务条款要求</w:t>
      </w:r>
    </w:p>
    <w:p w14:paraId="03B1FEC4">
      <w:pPr>
        <w:spacing w:line="360" w:lineRule="auto"/>
        <w:ind w:left="960" w:hanging="960" w:hangingChars="400"/>
        <w:rPr>
          <w:rFonts w:hint="eastAsia"/>
          <w:sz w:val="24"/>
        </w:rPr>
      </w:pPr>
      <w:r>
        <w:rPr>
          <w:rFonts w:hint="eastAsia"/>
          <w:sz w:val="24"/>
        </w:rPr>
        <w:t>1、合同货物的交货地点为张家港联合铜业有限公司现场。</w:t>
      </w:r>
    </w:p>
    <w:p w14:paraId="57876489">
      <w:pPr>
        <w:spacing w:line="360" w:lineRule="auto"/>
        <w:ind w:left="960" w:hanging="960" w:hangingChars="400"/>
        <w:rPr>
          <w:rFonts w:hint="eastAsia"/>
          <w:sz w:val="24"/>
        </w:rPr>
      </w:pPr>
      <w:r>
        <w:rPr>
          <w:rFonts w:hint="eastAsia"/>
          <w:sz w:val="24"/>
        </w:rPr>
        <w:t>2、运输：中标人送货到交货地点，并由中标人承担交货前的运输、费用及运输途中标的物丢失、毁损、灭失等一切风险。</w:t>
      </w:r>
      <w:bookmarkStart w:id="0" w:name="_Toc30697"/>
    </w:p>
    <w:p w14:paraId="0B3A402B">
      <w:pPr>
        <w:spacing w:line="440" w:lineRule="exact"/>
        <w:ind w:left="360" w:hanging="360" w:hangingChars="150"/>
        <w:rPr>
          <w:rFonts w:hint="eastAsia"/>
          <w:sz w:val="24"/>
        </w:rPr>
      </w:pPr>
      <w:r>
        <w:rPr>
          <w:rFonts w:hint="eastAsia"/>
          <w:sz w:val="24"/>
        </w:rPr>
        <w:t>3、计量方法：以招标人实际过磅数量为准，招标人能向中标人提供所使用计量器具的有效检定合格证书。</w:t>
      </w:r>
    </w:p>
    <w:bookmarkEnd w:id="0"/>
    <w:p w14:paraId="1E6F3D3F">
      <w:pPr>
        <w:spacing w:line="360" w:lineRule="auto"/>
        <w:ind w:left="960" w:hanging="960" w:hangingChars="400"/>
        <w:rPr>
          <w:rFonts w:hint="eastAsia"/>
          <w:sz w:val="24"/>
        </w:rPr>
      </w:pPr>
      <w:bookmarkStart w:id="1" w:name="_Toc18279"/>
      <w:r>
        <w:rPr>
          <w:rFonts w:hint="eastAsia"/>
          <w:sz w:val="24"/>
        </w:rPr>
        <w:t>4、总价中含16%的增值税。</w:t>
      </w:r>
    </w:p>
    <w:p w14:paraId="55DE435F">
      <w:pPr>
        <w:spacing w:line="440" w:lineRule="exact"/>
        <w:ind w:left="360" w:hanging="360" w:hangingChars="150"/>
        <w:rPr>
          <w:sz w:val="24"/>
        </w:rPr>
      </w:pPr>
      <w:r>
        <w:rPr>
          <w:rFonts w:hint="eastAsia"/>
          <w:sz w:val="24"/>
        </w:rPr>
        <w:t>5、本合同付款结算方式以银行电汇方式付款。</w:t>
      </w:r>
    </w:p>
    <w:p w14:paraId="39157967">
      <w:pPr>
        <w:spacing w:line="440" w:lineRule="exact"/>
        <w:ind w:left="360" w:hanging="360" w:hangingChars="150"/>
        <w:rPr>
          <w:rFonts w:hint="eastAsia"/>
          <w:sz w:val="24"/>
        </w:rPr>
      </w:pPr>
      <w:r>
        <w:rPr>
          <w:rFonts w:hint="eastAsia"/>
          <w:sz w:val="24"/>
        </w:rPr>
        <w:t>6、付款</w:t>
      </w:r>
      <w:r>
        <w:rPr>
          <w:sz w:val="24"/>
        </w:rPr>
        <w:t>方</w:t>
      </w:r>
      <w:r>
        <w:rPr>
          <w:rFonts w:hint="eastAsia"/>
          <w:sz w:val="24"/>
        </w:rPr>
        <w:t>式</w:t>
      </w:r>
      <w:r>
        <w:rPr>
          <w:sz w:val="24"/>
        </w:rPr>
        <w:t>：</w:t>
      </w:r>
      <w:r>
        <w:rPr>
          <w:rFonts w:hint="eastAsia"/>
          <w:sz w:val="24"/>
        </w:rPr>
        <w:t>货到现场，验收合格后凭需方结算单开具凭增值税发票，票到次月付货款总额50%，第二个月付40%，第三月付清10%余款。</w:t>
      </w:r>
    </w:p>
    <w:p w14:paraId="1E7EC269">
      <w:pPr>
        <w:spacing w:line="360" w:lineRule="auto"/>
        <w:ind w:left="360" w:hanging="360" w:hangingChars="150"/>
        <w:rPr>
          <w:rFonts w:hint="eastAsia"/>
          <w:sz w:val="24"/>
        </w:rPr>
      </w:pPr>
      <w:r>
        <w:rPr>
          <w:rFonts w:hint="eastAsia"/>
          <w:sz w:val="24"/>
        </w:rPr>
        <w:t>7、买卖双方约定的合同价格不能因原材料市场价格变动和政策性调整而变化，该合同总价款为闭口价。</w:t>
      </w:r>
    </w:p>
    <w:bookmarkEnd w:id="1"/>
    <w:p w14:paraId="69B8BE85">
      <w:pPr>
        <w:spacing w:line="360" w:lineRule="auto"/>
        <w:ind w:left="360" w:hanging="360" w:hangingChars="150"/>
        <w:rPr>
          <w:rFonts w:hint="eastAsia"/>
          <w:sz w:val="24"/>
        </w:rPr>
      </w:pPr>
      <w:r>
        <w:rPr>
          <w:rFonts w:hint="eastAsia"/>
          <w:sz w:val="24"/>
        </w:rPr>
        <w:t>8、违约责任：中标人产品性能不合格或不履行合同义务的，买方有权解除合同，中标人除赔偿买方全部经济损失外，还应按《中华人民共和国合同法》相关内容执行支付违约金。</w:t>
      </w:r>
    </w:p>
    <w:p w14:paraId="3BD7AFF3">
      <w:pPr>
        <w:spacing w:line="360" w:lineRule="auto"/>
        <w:rPr>
          <w:rFonts w:hint="eastAsia"/>
          <w:sz w:val="24"/>
        </w:rPr>
      </w:pPr>
    </w:p>
    <w:p w14:paraId="41926855">
      <w:pPr>
        <w:spacing w:line="360" w:lineRule="auto"/>
        <w:jc w:val="center"/>
        <w:rPr>
          <w:rFonts w:hint="eastAsia"/>
          <w:b/>
          <w:sz w:val="32"/>
          <w:szCs w:val="32"/>
        </w:rPr>
      </w:pPr>
      <w:r>
        <w:rPr>
          <w:rFonts w:hint="eastAsia"/>
          <w:b/>
          <w:sz w:val="32"/>
          <w:szCs w:val="32"/>
        </w:rPr>
        <w:t>第三章 质计条款</w:t>
      </w:r>
    </w:p>
    <w:p w14:paraId="008F1A52">
      <w:pPr>
        <w:spacing w:line="360" w:lineRule="auto"/>
        <w:rPr>
          <w:rFonts w:hint="eastAsia"/>
          <w:sz w:val="24"/>
        </w:rPr>
      </w:pPr>
    </w:p>
    <w:p w14:paraId="65D7FB47">
      <w:pPr>
        <w:spacing w:line="360" w:lineRule="auto"/>
        <w:rPr>
          <w:rFonts w:hint="eastAsia"/>
          <w:b/>
          <w:sz w:val="24"/>
        </w:rPr>
      </w:pPr>
      <w:r>
        <w:rPr>
          <w:rFonts w:hint="eastAsia"/>
          <w:b/>
          <w:sz w:val="24"/>
        </w:rPr>
        <w:t>1、质量要求</w:t>
      </w:r>
    </w:p>
    <w:p w14:paraId="5D94792D">
      <w:pPr>
        <w:spacing w:line="360" w:lineRule="auto"/>
        <w:rPr>
          <w:rFonts w:hint="eastAsia"/>
          <w:sz w:val="24"/>
        </w:rPr>
      </w:pPr>
      <w:r>
        <w:rPr>
          <w:rFonts w:hint="eastAsia"/>
          <w:sz w:val="24"/>
        </w:rPr>
        <w:t>炭精的技术指标应符合表1  要求。</w:t>
      </w:r>
    </w:p>
    <w:p w14:paraId="3977F2F0">
      <w:pPr>
        <w:spacing w:line="360" w:lineRule="auto"/>
        <w:jc w:val="center"/>
        <w:rPr>
          <w:rFonts w:hint="eastAsia"/>
          <w:sz w:val="24"/>
        </w:rPr>
      </w:pPr>
      <w:r>
        <w:rPr>
          <w:rFonts w:hint="eastAsia"/>
          <w:sz w:val="24"/>
        </w:rPr>
        <w:t>表  1   技术指标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D87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40" w:type="dxa"/>
            <w:vAlign w:val="center"/>
          </w:tcPr>
          <w:p w14:paraId="5943F017">
            <w:pPr>
              <w:spacing w:line="360" w:lineRule="auto"/>
              <w:jc w:val="center"/>
              <w:rPr>
                <w:rFonts w:hint="eastAsia"/>
                <w:sz w:val="24"/>
              </w:rPr>
            </w:pPr>
            <w:r>
              <w:rPr>
                <w:rFonts w:hint="eastAsia"/>
                <w:sz w:val="24"/>
              </w:rPr>
              <w:t>项      目</w:t>
            </w:r>
          </w:p>
        </w:tc>
        <w:tc>
          <w:tcPr>
            <w:tcW w:w="2841" w:type="dxa"/>
            <w:vAlign w:val="center"/>
          </w:tcPr>
          <w:p w14:paraId="7A6A13A3">
            <w:pPr>
              <w:spacing w:line="360" w:lineRule="auto"/>
              <w:jc w:val="center"/>
              <w:rPr>
                <w:rFonts w:hint="eastAsia"/>
                <w:sz w:val="24"/>
              </w:rPr>
            </w:pPr>
            <w:r>
              <w:rPr>
                <w:rFonts w:hint="eastAsia"/>
                <w:sz w:val="24"/>
              </w:rPr>
              <w:t>要   求   值</w:t>
            </w:r>
          </w:p>
        </w:tc>
        <w:tc>
          <w:tcPr>
            <w:tcW w:w="2841" w:type="dxa"/>
            <w:vAlign w:val="center"/>
          </w:tcPr>
          <w:p w14:paraId="2AFC7CC0">
            <w:pPr>
              <w:spacing w:line="360" w:lineRule="auto"/>
              <w:jc w:val="center"/>
              <w:rPr>
                <w:rFonts w:hint="eastAsia"/>
                <w:sz w:val="24"/>
              </w:rPr>
            </w:pPr>
            <w:r>
              <w:rPr>
                <w:rFonts w:hint="eastAsia"/>
                <w:sz w:val="24"/>
              </w:rPr>
              <w:t>限    值</w:t>
            </w:r>
          </w:p>
        </w:tc>
      </w:tr>
      <w:tr w14:paraId="1AF6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840" w:type="dxa"/>
            <w:vAlign w:val="center"/>
          </w:tcPr>
          <w:p w14:paraId="06E8D8B0">
            <w:pPr>
              <w:spacing w:line="360" w:lineRule="auto"/>
              <w:jc w:val="center"/>
              <w:rPr>
                <w:rFonts w:hint="eastAsia"/>
                <w:sz w:val="24"/>
              </w:rPr>
            </w:pPr>
            <w:r>
              <w:rPr>
                <w:rFonts w:hint="eastAsia"/>
                <w:sz w:val="24"/>
              </w:rPr>
              <w:t>含S量    %</w:t>
            </w:r>
          </w:p>
        </w:tc>
        <w:tc>
          <w:tcPr>
            <w:tcW w:w="2841" w:type="dxa"/>
            <w:vAlign w:val="center"/>
          </w:tcPr>
          <w:p w14:paraId="618B5974">
            <w:pPr>
              <w:spacing w:line="360" w:lineRule="auto"/>
              <w:jc w:val="center"/>
              <w:rPr>
                <w:rFonts w:hint="eastAsia"/>
                <w:sz w:val="24"/>
              </w:rPr>
            </w:pPr>
            <w:r>
              <w:rPr>
                <w:rFonts w:hint="eastAsia"/>
                <w:sz w:val="24"/>
              </w:rPr>
              <w:t>≤1.8</w:t>
            </w:r>
          </w:p>
        </w:tc>
        <w:tc>
          <w:tcPr>
            <w:tcW w:w="2841" w:type="dxa"/>
            <w:vAlign w:val="center"/>
          </w:tcPr>
          <w:p w14:paraId="78DCAFA1">
            <w:pPr>
              <w:spacing w:line="360" w:lineRule="auto"/>
              <w:jc w:val="center"/>
              <w:rPr>
                <w:rFonts w:hint="eastAsia"/>
                <w:sz w:val="24"/>
              </w:rPr>
            </w:pPr>
            <w:r>
              <w:rPr>
                <w:rFonts w:hint="eastAsia"/>
                <w:sz w:val="24"/>
              </w:rPr>
              <w:t>3.0</w:t>
            </w:r>
          </w:p>
        </w:tc>
      </w:tr>
      <w:tr w14:paraId="7AAE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40" w:type="dxa"/>
            <w:vAlign w:val="center"/>
          </w:tcPr>
          <w:p w14:paraId="33250EAB">
            <w:pPr>
              <w:spacing w:line="360" w:lineRule="auto"/>
              <w:jc w:val="center"/>
              <w:rPr>
                <w:rFonts w:hint="eastAsia"/>
                <w:sz w:val="24"/>
              </w:rPr>
            </w:pPr>
            <w:r>
              <w:rPr>
                <w:rFonts w:hint="eastAsia"/>
                <w:sz w:val="24"/>
              </w:rPr>
              <w:t>水份      %</w:t>
            </w:r>
          </w:p>
        </w:tc>
        <w:tc>
          <w:tcPr>
            <w:tcW w:w="2841" w:type="dxa"/>
            <w:vAlign w:val="center"/>
          </w:tcPr>
          <w:p w14:paraId="09067DC0">
            <w:pPr>
              <w:spacing w:line="360" w:lineRule="auto"/>
              <w:jc w:val="center"/>
              <w:rPr>
                <w:rFonts w:hint="eastAsia"/>
                <w:sz w:val="24"/>
              </w:rPr>
            </w:pPr>
            <w:r>
              <w:rPr>
                <w:rFonts w:hint="eastAsia"/>
                <w:sz w:val="24"/>
              </w:rPr>
              <w:t>≤1.0</w:t>
            </w:r>
          </w:p>
        </w:tc>
        <w:tc>
          <w:tcPr>
            <w:tcW w:w="2841" w:type="dxa"/>
            <w:vAlign w:val="center"/>
          </w:tcPr>
          <w:p w14:paraId="311458C6">
            <w:pPr>
              <w:spacing w:line="360" w:lineRule="auto"/>
              <w:jc w:val="center"/>
              <w:rPr>
                <w:rFonts w:hint="eastAsia"/>
                <w:sz w:val="24"/>
              </w:rPr>
            </w:pPr>
            <w:r>
              <w:rPr>
                <w:rFonts w:hint="eastAsia"/>
                <w:sz w:val="24"/>
              </w:rPr>
              <w:t>7.0</w:t>
            </w:r>
          </w:p>
        </w:tc>
      </w:tr>
      <w:tr w14:paraId="4CBA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40" w:type="dxa"/>
            <w:vAlign w:val="center"/>
          </w:tcPr>
          <w:p w14:paraId="44AD12D5">
            <w:pPr>
              <w:spacing w:line="360" w:lineRule="auto"/>
              <w:jc w:val="center"/>
              <w:rPr>
                <w:rFonts w:hint="eastAsia"/>
                <w:sz w:val="24"/>
              </w:rPr>
            </w:pPr>
            <w:r>
              <w:rPr>
                <w:rFonts w:hint="eastAsia"/>
                <w:sz w:val="24"/>
              </w:rPr>
              <w:t>固定碳     %</w:t>
            </w:r>
          </w:p>
        </w:tc>
        <w:tc>
          <w:tcPr>
            <w:tcW w:w="2841" w:type="dxa"/>
            <w:vAlign w:val="center"/>
          </w:tcPr>
          <w:p w14:paraId="52CD59E2">
            <w:pPr>
              <w:spacing w:line="360" w:lineRule="auto"/>
              <w:jc w:val="center"/>
              <w:rPr>
                <w:rFonts w:hint="eastAsia"/>
                <w:sz w:val="24"/>
              </w:rPr>
            </w:pPr>
            <w:r>
              <w:rPr>
                <w:rFonts w:hint="eastAsia"/>
                <w:sz w:val="24"/>
              </w:rPr>
              <w:t>≥95%</w:t>
            </w:r>
          </w:p>
        </w:tc>
        <w:tc>
          <w:tcPr>
            <w:tcW w:w="2841" w:type="dxa"/>
            <w:vAlign w:val="center"/>
          </w:tcPr>
          <w:p w14:paraId="23F3F047">
            <w:pPr>
              <w:spacing w:line="360" w:lineRule="auto"/>
              <w:jc w:val="center"/>
              <w:rPr>
                <w:rFonts w:hint="eastAsia"/>
                <w:sz w:val="24"/>
              </w:rPr>
            </w:pPr>
            <w:r>
              <w:rPr>
                <w:rFonts w:hint="eastAsia"/>
                <w:sz w:val="24"/>
              </w:rPr>
              <w:t>85%</w:t>
            </w:r>
          </w:p>
        </w:tc>
      </w:tr>
      <w:tr w14:paraId="5F90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40" w:type="dxa"/>
            <w:tcBorders>
              <w:bottom w:val="single" w:color="auto" w:sz="4" w:space="0"/>
            </w:tcBorders>
            <w:vAlign w:val="center"/>
          </w:tcPr>
          <w:p w14:paraId="51A74D2F">
            <w:pPr>
              <w:spacing w:line="360" w:lineRule="auto"/>
              <w:jc w:val="center"/>
              <w:rPr>
                <w:rFonts w:hint="eastAsia"/>
                <w:sz w:val="24"/>
              </w:rPr>
            </w:pPr>
            <w:r>
              <w:rPr>
                <w:rFonts w:hint="eastAsia"/>
                <w:sz w:val="24"/>
              </w:rPr>
              <w:t>粒度  150—250mm</w:t>
            </w:r>
          </w:p>
        </w:tc>
        <w:tc>
          <w:tcPr>
            <w:tcW w:w="2841" w:type="dxa"/>
            <w:vAlign w:val="center"/>
          </w:tcPr>
          <w:p w14:paraId="0ED9A102">
            <w:pPr>
              <w:spacing w:line="360" w:lineRule="auto"/>
              <w:jc w:val="center"/>
              <w:rPr>
                <w:rFonts w:hint="eastAsia"/>
                <w:sz w:val="24"/>
              </w:rPr>
            </w:pPr>
            <w:r>
              <w:rPr>
                <w:rFonts w:hint="eastAsia"/>
                <w:sz w:val="24"/>
              </w:rPr>
              <w:t>≥90%</w:t>
            </w:r>
          </w:p>
        </w:tc>
        <w:tc>
          <w:tcPr>
            <w:tcW w:w="2841" w:type="dxa"/>
            <w:vAlign w:val="center"/>
          </w:tcPr>
          <w:p w14:paraId="475124DE">
            <w:pPr>
              <w:spacing w:line="360" w:lineRule="auto"/>
              <w:jc w:val="center"/>
              <w:rPr>
                <w:rFonts w:hint="eastAsia"/>
                <w:sz w:val="24"/>
              </w:rPr>
            </w:pPr>
            <w:r>
              <w:rPr>
                <w:rFonts w:hint="eastAsia"/>
                <w:sz w:val="24"/>
              </w:rPr>
              <w:t>80%</w:t>
            </w:r>
          </w:p>
        </w:tc>
      </w:tr>
    </w:tbl>
    <w:p w14:paraId="6792B93C">
      <w:pPr>
        <w:spacing w:line="360" w:lineRule="auto"/>
        <w:rPr>
          <w:rFonts w:hint="eastAsia"/>
          <w:b/>
          <w:sz w:val="24"/>
        </w:rPr>
      </w:pPr>
      <w:r>
        <w:rPr>
          <w:rFonts w:hint="eastAsia"/>
          <w:b/>
          <w:sz w:val="24"/>
        </w:rPr>
        <w:t>2、取样和验收</w:t>
      </w:r>
    </w:p>
    <w:p w14:paraId="4DDB4108">
      <w:pPr>
        <w:spacing w:line="360" w:lineRule="auto"/>
        <w:rPr>
          <w:rFonts w:hint="eastAsia"/>
          <w:sz w:val="24"/>
        </w:rPr>
      </w:pPr>
      <w:r>
        <w:rPr>
          <w:rFonts w:hint="eastAsia"/>
          <w:sz w:val="24"/>
        </w:rPr>
        <w:t>2.1在供方或其代表在场时，由需方质量计量部负责对炭精的质量进行验收。</w:t>
      </w:r>
    </w:p>
    <w:p w14:paraId="5758006C">
      <w:pPr>
        <w:spacing w:line="360" w:lineRule="auto"/>
        <w:rPr>
          <w:rFonts w:hint="eastAsia"/>
          <w:sz w:val="24"/>
        </w:rPr>
      </w:pPr>
      <w:r>
        <w:rPr>
          <w:rFonts w:hint="eastAsia"/>
          <w:sz w:val="24"/>
        </w:rPr>
        <w:t>2.2取样</w:t>
      </w:r>
    </w:p>
    <w:p w14:paraId="198F8DFA">
      <w:pPr>
        <w:spacing w:line="360" w:lineRule="auto"/>
        <w:ind w:left="359" w:leftChars="171"/>
        <w:rPr>
          <w:rFonts w:hint="eastAsia"/>
          <w:sz w:val="24"/>
        </w:rPr>
      </w:pPr>
      <w:r>
        <w:rPr>
          <w:rFonts w:hint="eastAsia"/>
          <w:sz w:val="24"/>
        </w:rPr>
        <w:t>供方炭精应成批提交检验，由同一品级并在某一段时间集中到货的炭精组成一个交付批次，需方对每一交付批次进行随机抽样检验。</w:t>
      </w:r>
    </w:p>
    <w:p w14:paraId="33182F62">
      <w:pPr>
        <w:spacing w:line="360" w:lineRule="auto"/>
        <w:rPr>
          <w:rFonts w:hint="eastAsia"/>
          <w:sz w:val="24"/>
        </w:rPr>
      </w:pPr>
      <w:r>
        <w:rPr>
          <w:rFonts w:hint="eastAsia"/>
          <w:sz w:val="24"/>
        </w:rPr>
        <w:t>2.3  检验结果的判定</w:t>
      </w:r>
    </w:p>
    <w:p w14:paraId="2D5DD1DD">
      <w:pPr>
        <w:spacing w:line="360" w:lineRule="auto"/>
        <w:ind w:left="480" w:hanging="480" w:hangingChars="200"/>
        <w:rPr>
          <w:rFonts w:hint="eastAsia"/>
          <w:sz w:val="24"/>
        </w:rPr>
      </w:pPr>
      <w:r>
        <w:rPr>
          <w:rFonts w:hint="eastAsia"/>
          <w:sz w:val="24"/>
        </w:rPr>
        <w:t xml:space="preserve">    供方应随货提供质保书，当需方分析结果与供方质保书不一致时，由供需双方协商解决；不能协商一致时可交由双方所认可的第三方仲裁；当供方不能随货提供质保书时，以需方的取样分析结果为结算依据。</w:t>
      </w:r>
    </w:p>
    <w:p w14:paraId="6E3B52CD">
      <w:pPr>
        <w:spacing w:line="360" w:lineRule="auto"/>
        <w:rPr>
          <w:rFonts w:hint="eastAsia"/>
          <w:b/>
          <w:sz w:val="24"/>
        </w:rPr>
      </w:pPr>
      <w:r>
        <w:rPr>
          <w:rFonts w:hint="eastAsia"/>
          <w:b/>
          <w:sz w:val="24"/>
        </w:rPr>
        <w:t>3、计量</w:t>
      </w:r>
    </w:p>
    <w:p w14:paraId="3F4AA3A8">
      <w:pPr>
        <w:spacing w:line="360" w:lineRule="auto"/>
        <w:rPr>
          <w:rFonts w:hint="eastAsia"/>
          <w:sz w:val="24"/>
        </w:rPr>
      </w:pPr>
      <w:r>
        <w:rPr>
          <w:rFonts w:hint="eastAsia"/>
          <w:sz w:val="24"/>
        </w:rPr>
        <w:t>3.1供方炭精运输车辆必须清扫干净，不能混有其它杂物。</w:t>
      </w:r>
    </w:p>
    <w:p w14:paraId="7E5A410C">
      <w:pPr>
        <w:spacing w:line="360" w:lineRule="auto"/>
        <w:rPr>
          <w:rFonts w:hint="eastAsia"/>
          <w:sz w:val="24"/>
        </w:rPr>
      </w:pPr>
      <w:r>
        <w:rPr>
          <w:rFonts w:hint="eastAsia"/>
          <w:sz w:val="24"/>
        </w:rPr>
        <w:t>3.2炭精的重量以需方计量为准，需方能向供方提供所使用计量器具的有效检定合格证书。</w:t>
      </w:r>
    </w:p>
    <w:p w14:paraId="13DEFF58">
      <w:pPr>
        <w:spacing w:line="360" w:lineRule="auto"/>
        <w:ind w:left="360" w:hanging="360" w:hangingChars="150"/>
        <w:rPr>
          <w:rFonts w:hint="eastAsia"/>
          <w:sz w:val="24"/>
        </w:rPr>
      </w:pPr>
      <w:r>
        <w:rPr>
          <w:rFonts w:hint="eastAsia"/>
          <w:sz w:val="24"/>
        </w:rPr>
        <w:t>3.3当检验结果符合表1《技术指标》中的要求值时，实际结算数量即为计量重量。如检定结果超出要求值而低于限制值时，结算数量在计量重量中分别按要求扣除。其中：含S量、固定碳和粒度超出要求值部分2倍扣除，超过限制部分5倍扣除。水分超过要求值扣除超出部分，超过限值部分2倍扣除。</w:t>
      </w:r>
    </w:p>
    <w:p w14:paraId="51A9F083">
      <w:pPr>
        <w:spacing w:line="360" w:lineRule="auto"/>
        <w:rPr>
          <w:rFonts w:hint="eastAsia"/>
          <w:sz w:val="24"/>
        </w:rPr>
      </w:pPr>
    </w:p>
    <w:p w14:paraId="3107AD48">
      <w:pPr>
        <w:spacing w:line="440" w:lineRule="exact"/>
        <w:ind w:left="360" w:hanging="360" w:hangingChars="150"/>
        <w:rPr>
          <w:rFonts w:hint="eastAsia"/>
          <w:sz w:val="24"/>
        </w:rPr>
      </w:pPr>
    </w:p>
    <w:p w14:paraId="7DAD246F">
      <w:pPr>
        <w:spacing w:line="440" w:lineRule="exact"/>
        <w:ind w:left="360" w:hanging="360" w:hangingChars="150"/>
        <w:rPr>
          <w:rFonts w:hint="eastAsia"/>
          <w:sz w:val="24"/>
        </w:rPr>
      </w:pPr>
    </w:p>
    <w:p w14:paraId="58514018">
      <w:pPr>
        <w:spacing w:line="440" w:lineRule="exact"/>
        <w:ind w:left="360" w:hanging="360" w:hangingChars="150"/>
        <w:rPr>
          <w:rFonts w:hint="eastAsia"/>
          <w:sz w:val="24"/>
        </w:rPr>
      </w:pPr>
    </w:p>
    <w:p w14:paraId="076AF7EC">
      <w:pPr>
        <w:spacing w:line="440" w:lineRule="exact"/>
        <w:ind w:left="360" w:hanging="360" w:hangingChars="150"/>
        <w:rPr>
          <w:rFonts w:hint="eastAsia"/>
          <w:sz w:val="24"/>
        </w:rPr>
      </w:pPr>
    </w:p>
    <w:p w14:paraId="0C650847">
      <w:pPr>
        <w:spacing w:line="440" w:lineRule="exact"/>
        <w:ind w:left="360" w:hanging="360" w:hangingChars="150"/>
        <w:rPr>
          <w:rFonts w:hint="eastAsia"/>
          <w:sz w:val="24"/>
        </w:rPr>
      </w:pPr>
    </w:p>
    <w:p w14:paraId="34A8556B">
      <w:pPr>
        <w:spacing w:line="440" w:lineRule="exact"/>
        <w:ind w:left="360" w:hanging="360" w:hangingChars="150"/>
        <w:rPr>
          <w:rFonts w:hint="eastAsia"/>
          <w:sz w:val="24"/>
        </w:rPr>
      </w:pPr>
    </w:p>
    <w:p w14:paraId="4F54164D">
      <w:pPr>
        <w:spacing w:line="440" w:lineRule="exact"/>
        <w:ind w:left="360" w:hanging="360" w:hangingChars="150"/>
        <w:rPr>
          <w:rFonts w:hint="eastAsia"/>
          <w:sz w:val="24"/>
        </w:rPr>
      </w:pPr>
    </w:p>
    <w:p w14:paraId="66918691">
      <w:pPr>
        <w:spacing w:line="480" w:lineRule="auto"/>
        <w:jc w:val="center"/>
        <w:rPr>
          <w:rFonts w:hint="eastAsia" w:ascii="宋体" w:hAnsi="宋体"/>
          <w:b/>
          <w:sz w:val="32"/>
          <w:szCs w:val="32"/>
        </w:rPr>
      </w:pPr>
    </w:p>
    <w:p w14:paraId="4AC67849">
      <w:pPr>
        <w:spacing w:line="480" w:lineRule="auto"/>
        <w:jc w:val="center"/>
        <w:rPr>
          <w:rFonts w:hint="eastAsia"/>
          <w:b/>
          <w:bCs/>
          <w:sz w:val="32"/>
          <w:szCs w:val="32"/>
        </w:rPr>
      </w:pPr>
      <w:r>
        <w:rPr>
          <w:rFonts w:hint="eastAsia" w:ascii="宋体" w:hAnsi="宋体"/>
          <w:b/>
          <w:sz w:val="32"/>
          <w:szCs w:val="32"/>
        </w:rPr>
        <w:t>第四章 投标文件相关格式</w:t>
      </w:r>
    </w:p>
    <w:p w14:paraId="60190858">
      <w:pPr>
        <w:spacing w:line="480" w:lineRule="auto"/>
        <w:jc w:val="center"/>
        <w:rPr>
          <w:rFonts w:hint="eastAsia"/>
          <w:b/>
          <w:bCs/>
          <w:sz w:val="32"/>
          <w:szCs w:val="32"/>
        </w:rPr>
      </w:pPr>
      <w:r>
        <w:rPr>
          <w:rFonts w:hint="eastAsia"/>
          <w:b/>
          <w:bCs/>
          <w:sz w:val="32"/>
          <w:szCs w:val="32"/>
        </w:rPr>
        <w:t>1、投标函</w:t>
      </w:r>
    </w:p>
    <w:p w14:paraId="5159A078">
      <w:pPr>
        <w:spacing w:line="480" w:lineRule="auto"/>
        <w:rPr>
          <w:rFonts w:hint="eastAsia"/>
          <w:b/>
          <w:bCs/>
          <w:sz w:val="28"/>
          <w:szCs w:val="28"/>
        </w:rPr>
      </w:pPr>
    </w:p>
    <w:p w14:paraId="5D862F41">
      <w:pPr>
        <w:rPr>
          <w:rFonts w:hint="eastAsia" w:ascii="宋体" w:hAnsi="宋体"/>
          <w:sz w:val="10"/>
          <w:szCs w:val="28"/>
        </w:rPr>
      </w:pPr>
      <w:r>
        <w:rPr>
          <w:rFonts w:hint="eastAsia" w:ascii="宋体" w:hAnsi="宋体"/>
          <w:sz w:val="24"/>
          <w:szCs w:val="28"/>
        </w:rPr>
        <w:t>致：</w:t>
      </w:r>
      <w:r>
        <w:rPr>
          <w:rFonts w:hint="eastAsia" w:ascii="宋体" w:hAnsi="宋体"/>
          <w:sz w:val="24"/>
          <w:szCs w:val="28"/>
          <w:u w:val="single"/>
        </w:rPr>
        <w:t xml:space="preserve"> </w:t>
      </w:r>
      <w:r>
        <w:rPr>
          <w:rFonts w:hint="eastAsia"/>
          <w:sz w:val="24"/>
          <w:szCs w:val="18"/>
          <w:u w:val="single"/>
        </w:rPr>
        <w:t xml:space="preserve">张家港联合铜业有限公司招标办  </w:t>
      </w:r>
    </w:p>
    <w:p w14:paraId="7CA5C490">
      <w:pPr>
        <w:spacing w:line="360" w:lineRule="auto"/>
        <w:rPr>
          <w:rFonts w:hint="eastAsia" w:ascii="宋体" w:hAnsi="宋体"/>
          <w:sz w:val="24"/>
          <w:szCs w:val="28"/>
        </w:rPr>
      </w:pPr>
    </w:p>
    <w:p w14:paraId="7B03C2DE">
      <w:pPr>
        <w:spacing w:line="360" w:lineRule="auto"/>
        <w:rPr>
          <w:rFonts w:hint="eastAsia" w:ascii="宋体" w:hAnsi="宋体"/>
          <w:sz w:val="24"/>
          <w:szCs w:val="28"/>
        </w:rPr>
      </w:pPr>
      <w:r>
        <w:rPr>
          <w:rFonts w:hint="eastAsia" w:ascii="宋体" w:hAnsi="宋体"/>
          <w:sz w:val="24"/>
          <w:szCs w:val="28"/>
        </w:rPr>
        <w:t xml:space="preserve">   1. 根据你方招标项目：</w:t>
      </w:r>
      <w:r>
        <w:rPr>
          <w:rFonts w:hint="eastAsia"/>
          <w:sz w:val="24"/>
          <w:szCs w:val="18"/>
        </w:rPr>
        <w:t>张家港联合铜业有限公司</w:t>
      </w:r>
      <w:r>
        <w:rPr>
          <w:rFonts w:hint="eastAsia"/>
          <w:sz w:val="24"/>
          <w:szCs w:val="18"/>
          <w:u w:val="single"/>
        </w:rPr>
        <w:t xml:space="preserve">  </w:t>
      </w:r>
      <w:r>
        <w:rPr>
          <w:rFonts w:hint="eastAsia"/>
          <w:sz w:val="24"/>
          <w:u w:val="single"/>
        </w:rPr>
        <w:t>炭精</w:t>
      </w:r>
      <w:r>
        <w:rPr>
          <w:rFonts w:hint="eastAsia" w:ascii="宋体" w:hAnsi="宋体"/>
          <w:sz w:val="24"/>
          <w:szCs w:val="28"/>
          <w:u w:val="single"/>
        </w:rPr>
        <w:t>招标文件</w:t>
      </w:r>
      <w:r>
        <w:rPr>
          <w:rFonts w:hint="eastAsia"/>
          <w:sz w:val="24"/>
          <w:szCs w:val="18"/>
          <w:u w:val="single"/>
        </w:rPr>
        <w:t>（招标编号：zhjg2017-1-31）</w:t>
      </w:r>
      <w:r>
        <w:rPr>
          <w:rFonts w:hint="eastAsia"/>
          <w:sz w:val="24"/>
          <w:szCs w:val="18"/>
        </w:rPr>
        <w:t>内容</w:t>
      </w:r>
      <w:r>
        <w:rPr>
          <w:rFonts w:hint="eastAsia" w:ascii="宋体" w:hAnsi="宋体"/>
          <w:sz w:val="24"/>
          <w:szCs w:val="28"/>
        </w:rPr>
        <w:t>，遵照《中华人民共和国招标投标法》等有关规定，经研究招标文件的相关内容及其他有关文件后，我方以投标总价（大写）</w:t>
      </w:r>
      <w:r>
        <w:rPr>
          <w:rFonts w:hint="eastAsia" w:ascii="宋体" w:hAnsi="宋体"/>
          <w:sz w:val="24"/>
          <w:szCs w:val="28"/>
          <w:u w:val="single"/>
        </w:rPr>
        <w:t xml:space="preserve">           </w:t>
      </w:r>
      <w:r>
        <w:rPr>
          <w:rFonts w:hint="eastAsia" w:ascii="宋体" w:hAnsi="宋体"/>
          <w:b/>
          <w:bCs/>
          <w:sz w:val="24"/>
          <w:szCs w:val="28"/>
          <w:u w:val="single"/>
        </w:rPr>
        <w:t xml:space="preserve">         </w:t>
      </w:r>
      <w:r>
        <w:rPr>
          <w:rFonts w:hint="eastAsia" w:ascii="宋体" w:hAnsi="宋体"/>
          <w:bCs/>
          <w:sz w:val="24"/>
          <w:szCs w:val="28"/>
        </w:rPr>
        <w:t>元/吨，</w:t>
      </w:r>
      <w:r>
        <w:rPr>
          <w:rFonts w:hint="eastAsia" w:ascii="宋体" w:hAnsi="宋体"/>
          <w:sz w:val="24"/>
          <w:szCs w:val="28"/>
        </w:rPr>
        <w:t>（小写）</w:t>
      </w:r>
      <w:r>
        <w:rPr>
          <w:rFonts w:hint="eastAsia" w:ascii="宋体" w:hAnsi="宋体"/>
          <w:b/>
          <w:bCs/>
          <w:sz w:val="24"/>
          <w:szCs w:val="28"/>
          <w:u w:val="single"/>
        </w:rPr>
        <w:t xml:space="preserve">            </w:t>
      </w:r>
      <w:r>
        <w:rPr>
          <w:rFonts w:hint="eastAsia" w:ascii="宋体" w:hAnsi="宋体"/>
          <w:bCs/>
          <w:sz w:val="24"/>
          <w:szCs w:val="28"/>
        </w:rPr>
        <w:t>元/吨，</w:t>
      </w:r>
      <w:r>
        <w:rPr>
          <w:rFonts w:hint="eastAsia" w:ascii="宋体" w:hAnsi="宋体"/>
          <w:sz w:val="24"/>
          <w:szCs w:val="28"/>
        </w:rPr>
        <w:t>并按你方合同条款、验收质量标准条件要求承包上述项目的供应，并承担任何质量缺陷保修责任。</w:t>
      </w:r>
    </w:p>
    <w:p w14:paraId="7E87F2D8">
      <w:pPr>
        <w:spacing w:line="360" w:lineRule="auto"/>
        <w:rPr>
          <w:rFonts w:hint="eastAsia" w:ascii="宋体" w:hAnsi="宋体"/>
          <w:sz w:val="24"/>
          <w:szCs w:val="28"/>
        </w:rPr>
      </w:pPr>
      <w:r>
        <w:rPr>
          <w:rFonts w:hint="eastAsia" w:ascii="宋体" w:hAnsi="宋体"/>
          <w:sz w:val="24"/>
          <w:szCs w:val="28"/>
        </w:rPr>
        <w:t xml:space="preserve">    2．我方已详细审核全部招标文件，包括其补充招标文件（如有时）及有关附件。</w:t>
      </w:r>
    </w:p>
    <w:p w14:paraId="01187B38">
      <w:pPr>
        <w:spacing w:line="360" w:lineRule="auto"/>
        <w:rPr>
          <w:rFonts w:hint="eastAsia" w:ascii="宋体" w:hAnsi="宋体"/>
          <w:sz w:val="24"/>
          <w:szCs w:val="28"/>
        </w:rPr>
      </w:pPr>
      <w:r>
        <w:rPr>
          <w:rFonts w:hint="eastAsia" w:ascii="宋体" w:hAnsi="宋体"/>
          <w:sz w:val="24"/>
          <w:szCs w:val="28"/>
        </w:rPr>
        <w:t xml:space="preserve">    3．我方承认投标函附录是我方投标函的组成部分。</w:t>
      </w:r>
    </w:p>
    <w:p w14:paraId="3A1B6352">
      <w:pPr>
        <w:spacing w:line="360" w:lineRule="auto"/>
        <w:rPr>
          <w:rFonts w:hint="eastAsia" w:ascii="宋体" w:hAnsi="宋体"/>
          <w:sz w:val="24"/>
          <w:szCs w:val="28"/>
        </w:rPr>
      </w:pPr>
      <w:r>
        <w:rPr>
          <w:rFonts w:hint="eastAsia" w:ascii="宋体" w:hAnsi="宋体"/>
          <w:sz w:val="24"/>
          <w:szCs w:val="28"/>
        </w:rPr>
        <w:t xml:space="preserve">    4．一旦我方中标，我方保证在你方规定日历天内开始供货并完成你方合同所规定的供应数量。</w:t>
      </w:r>
    </w:p>
    <w:p w14:paraId="7298A7A5">
      <w:pPr>
        <w:spacing w:line="360" w:lineRule="auto"/>
        <w:rPr>
          <w:rFonts w:hint="eastAsia" w:ascii="宋体" w:hAnsi="宋体"/>
          <w:sz w:val="24"/>
          <w:szCs w:val="28"/>
        </w:rPr>
      </w:pPr>
      <w:r>
        <w:rPr>
          <w:rFonts w:hint="eastAsia" w:ascii="宋体" w:hAnsi="宋体"/>
          <w:sz w:val="24"/>
          <w:szCs w:val="28"/>
        </w:rPr>
        <w:t xml:space="preserve">    5．我方同意所提交的投标文件在规定的投标有效期内有效，在此期间内如果中标，我方将受此约束。</w:t>
      </w:r>
    </w:p>
    <w:p w14:paraId="27FB3B10">
      <w:pPr>
        <w:spacing w:line="360" w:lineRule="auto"/>
        <w:rPr>
          <w:rFonts w:hint="eastAsia" w:ascii="宋体" w:hAnsi="宋体"/>
          <w:sz w:val="24"/>
          <w:szCs w:val="28"/>
        </w:rPr>
      </w:pPr>
      <w:r>
        <w:rPr>
          <w:rFonts w:hint="eastAsia" w:ascii="宋体" w:hAnsi="宋体"/>
          <w:sz w:val="24"/>
          <w:szCs w:val="28"/>
        </w:rPr>
        <w:t xml:space="preserve">    6．除非另外达成协议并生效，你方的中标通知书和本投标文件将成为约束双方的合同文件的组成部分。</w:t>
      </w:r>
    </w:p>
    <w:p w14:paraId="4EB37B37">
      <w:pPr>
        <w:spacing w:line="360" w:lineRule="auto"/>
        <w:rPr>
          <w:rFonts w:hint="eastAsia" w:ascii="宋体" w:hAnsi="宋体"/>
          <w:sz w:val="24"/>
          <w:szCs w:val="28"/>
        </w:rPr>
      </w:pPr>
    </w:p>
    <w:p w14:paraId="628A4BCA">
      <w:pPr>
        <w:spacing w:line="360" w:lineRule="auto"/>
        <w:rPr>
          <w:rFonts w:hint="eastAsia" w:ascii="宋体" w:hAnsi="宋体"/>
          <w:sz w:val="24"/>
          <w:szCs w:val="28"/>
        </w:rPr>
      </w:pPr>
      <w:r>
        <w:rPr>
          <w:rFonts w:hint="eastAsia" w:ascii="宋体" w:hAnsi="宋体"/>
          <w:sz w:val="24"/>
          <w:szCs w:val="28"/>
        </w:rPr>
        <w:t>投标人:</w:t>
      </w:r>
      <w:r>
        <w:rPr>
          <w:rFonts w:hint="eastAsia" w:ascii="宋体" w:hAnsi="宋体"/>
          <w:sz w:val="24"/>
          <w:szCs w:val="28"/>
          <w:u w:val="single"/>
        </w:rPr>
        <w:t xml:space="preserve">                             </w:t>
      </w:r>
      <w:r>
        <w:rPr>
          <w:rFonts w:hint="eastAsia" w:ascii="宋体" w:hAnsi="宋体"/>
          <w:sz w:val="24"/>
          <w:szCs w:val="28"/>
        </w:rPr>
        <w:t>（盖章）</w:t>
      </w:r>
    </w:p>
    <w:p w14:paraId="6B30F15D">
      <w:pPr>
        <w:spacing w:line="360" w:lineRule="auto"/>
        <w:rPr>
          <w:rFonts w:hint="eastAsia" w:ascii="宋体" w:hAnsi="宋体"/>
          <w:sz w:val="24"/>
          <w:szCs w:val="28"/>
        </w:rPr>
      </w:pPr>
      <w:r>
        <w:rPr>
          <w:rFonts w:hint="eastAsia" w:ascii="宋体" w:hAnsi="宋体"/>
          <w:sz w:val="24"/>
          <w:szCs w:val="28"/>
        </w:rPr>
        <w:t>单位地址：</w:t>
      </w:r>
      <w:r>
        <w:rPr>
          <w:rFonts w:hint="eastAsia" w:ascii="宋体" w:hAnsi="宋体"/>
          <w:sz w:val="24"/>
          <w:szCs w:val="28"/>
          <w:u w:val="single"/>
        </w:rPr>
        <w:t xml:space="preserve">                          </w:t>
      </w:r>
    </w:p>
    <w:p w14:paraId="64336750">
      <w:pPr>
        <w:spacing w:line="360" w:lineRule="auto"/>
        <w:rPr>
          <w:rFonts w:hint="eastAsia" w:ascii="宋体" w:hAnsi="宋体"/>
          <w:sz w:val="24"/>
          <w:szCs w:val="28"/>
        </w:rPr>
      </w:pPr>
      <w:r>
        <w:rPr>
          <w:rFonts w:hint="eastAsia" w:ascii="宋体" w:hAnsi="宋体"/>
          <w:sz w:val="24"/>
          <w:szCs w:val="28"/>
        </w:rPr>
        <w:t>授权的代理人：</w:t>
      </w:r>
      <w:r>
        <w:rPr>
          <w:rFonts w:hint="eastAsia" w:ascii="宋体" w:hAnsi="宋体"/>
          <w:sz w:val="24"/>
          <w:szCs w:val="28"/>
          <w:u w:val="single"/>
        </w:rPr>
        <w:t xml:space="preserve">             </w:t>
      </w:r>
      <w:r>
        <w:rPr>
          <w:rFonts w:hint="eastAsia" w:ascii="宋体" w:hAnsi="宋体"/>
          <w:sz w:val="24"/>
          <w:szCs w:val="28"/>
        </w:rPr>
        <w:t>（签字或盖章）</w:t>
      </w:r>
    </w:p>
    <w:p w14:paraId="002CA711">
      <w:pPr>
        <w:spacing w:line="360" w:lineRule="auto"/>
        <w:rPr>
          <w:rFonts w:hint="eastAsia" w:ascii="宋体" w:hAnsi="宋体"/>
          <w:sz w:val="24"/>
          <w:szCs w:val="28"/>
        </w:rPr>
      </w:pPr>
      <w:r>
        <w:rPr>
          <w:rFonts w:hint="eastAsia" w:ascii="宋体" w:hAnsi="宋体"/>
          <w:sz w:val="24"/>
          <w:szCs w:val="28"/>
        </w:rPr>
        <w:t>电话：</w:t>
      </w:r>
      <w:r>
        <w:rPr>
          <w:rFonts w:hint="eastAsia" w:ascii="宋体" w:hAnsi="宋体"/>
          <w:sz w:val="24"/>
          <w:szCs w:val="28"/>
          <w:u w:val="single"/>
        </w:rPr>
        <w:t xml:space="preserve">               </w:t>
      </w:r>
      <w:r>
        <w:rPr>
          <w:rFonts w:hint="eastAsia" w:ascii="宋体" w:hAnsi="宋体"/>
          <w:sz w:val="24"/>
          <w:szCs w:val="28"/>
        </w:rPr>
        <w:t xml:space="preserve"> 传真：</w:t>
      </w:r>
      <w:r>
        <w:rPr>
          <w:rFonts w:hint="eastAsia" w:ascii="宋体" w:hAnsi="宋体"/>
          <w:sz w:val="24"/>
          <w:szCs w:val="28"/>
          <w:u w:val="single"/>
        </w:rPr>
        <w:t xml:space="preserve">                 </w:t>
      </w:r>
    </w:p>
    <w:p w14:paraId="1DCE20AE">
      <w:pPr>
        <w:spacing w:line="360" w:lineRule="auto"/>
        <w:rPr>
          <w:rFonts w:ascii="宋体" w:hAnsi="宋体"/>
          <w:sz w:val="24"/>
          <w:szCs w:val="28"/>
        </w:rPr>
        <w:sectPr>
          <w:pgSz w:w="11906" w:h="16838"/>
          <w:pgMar w:top="964" w:right="1191" w:bottom="964" w:left="1247" w:header="851" w:footer="992" w:gutter="0"/>
          <w:cols w:space="720" w:num="1"/>
          <w:docGrid w:type="lines" w:linePitch="312" w:charSpace="0"/>
        </w:sectPr>
      </w:pPr>
      <w:r>
        <w:rPr>
          <w:rFonts w:hint="eastAsia" w:ascii="宋体" w:hAnsi="宋体"/>
          <w:sz w:val="24"/>
          <w:szCs w:val="28"/>
        </w:rPr>
        <w:t>日期：</w:t>
      </w:r>
      <w:r>
        <w:rPr>
          <w:rFonts w:hint="eastAsia" w:ascii="宋体" w:hAnsi="宋体"/>
          <w:sz w:val="24"/>
          <w:szCs w:val="28"/>
          <w:u w:val="single"/>
        </w:rPr>
        <w:t xml:space="preserve">         </w:t>
      </w:r>
      <w:r>
        <w:rPr>
          <w:rFonts w:hint="eastAsia" w:ascii="宋体" w:hAnsi="宋体"/>
          <w:sz w:val="24"/>
          <w:szCs w:val="28"/>
        </w:rPr>
        <w:t xml:space="preserve">年 </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bookmarkStart w:id="2" w:name="_Toc279696546"/>
    </w:p>
    <w:p w14:paraId="3134F3F4">
      <w:pPr>
        <w:tabs>
          <w:tab w:val="left" w:pos="0"/>
        </w:tabs>
        <w:spacing w:afterLines="100"/>
        <w:jc w:val="center"/>
        <w:outlineLvl w:val="1"/>
        <w:rPr>
          <w:rFonts w:hint="eastAsia" w:ascii="黑体" w:eastAsia="黑体"/>
          <w:b/>
          <w:sz w:val="32"/>
          <w:szCs w:val="32"/>
        </w:rPr>
      </w:pPr>
      <w:bookmarkStart w:id="3" w:name="_Toc24553"/>
      <w:r>
        <w:rPr>
          <w:rFonts w:hint="eastAsia" w:ascii="黑体" w:eastAsia="黑体"/>
          <w:b/>
          <w:sz w:val="32"/>
          <w:szCs w:val="32"/>
        </w:rPr>
        <w:t>2 响应/偏离表</w:t>
      </w:r>
      <w:bookmarkEnd w:id="3"/>
      <w:r>
        <w:rPr>
          <w:rFonts w:ascii="黑体" w:eastAsia="黑体"/>
          <w:b/>
          <w:sz w:val="32"/>
          <w:szCs w:val="32"/>
        </w:rPr>
        <w:t xml:space="preserve"> </w:t>
      </w:r>
    </w:p>
    <w:p w14:paraId="21AEA156">
      <w:pPr>
        <w:pStyle w:val="6"/>
        <w:rPr>
          <w:rFonts w:hint="eastAsia"/>
        </w:rPr>
      </w:pPr>
    </w:p>
    <w:p w14:paraId="685497F6">
      <w:pPr>
        <w:rPr>
          <w:b/>
        </w:rPr>
      </w:pPr>
      <w:r>
        <w:rPr>
          <w:rFonts w:hint="eastAsia"/>
          <w:b/>
          <w:sz w:val="24"/>
        </w:rPr>
        <w:t>2</w:t>
      </w:r>
      <w:r>
        <w:rPr>
          <w:b/>
          <w:sz w:val="24"/>
        </w:rPr>
        <w:t xml:space="preserve">.1 </w:t>
      </w:r>
      <w:r>
        <w:rPr>
          <w:rFonts w:hint="eastAsia" w:ascii="宋体"/>
          <w:b/>
          <w:sz w:val="24"/>
        </w:rPr>
        <w:t>质计条款响应/偏离表</w:t>
      </w:r>
      <w:r>
        <w:rPr>
          <w:rFonts w:ascii="宋体"/>
          <w:b/>
          <w:sz w:val="24"/>
        </w:rPr>
        <w:t xml:space="preserve"> </w:t>
      </w:r>
    </w:p>
    <w:p w14:paraId="64188F49">
      <w:pPr>
        <w:ind w:left="308"/>
      </w:pPr>
      <w:r>
        <w:rPr>
          <w:rFonts w:hint="eastAsia" w:ascii="宋体"/>
          <w:sz w:val="24"/>
        </w:rPr>
        <w:t>招标编号：</w:t>
      </w:r>
      <w:r>
        <w:rPr>
          <w:rFonts w:ascii="宋体"/>
          <w:sz w:val="24"/>
        </w:rPr>
        <w:t xml:space="preserve"> </w:t>
      </w:r>
    </w:p>
    <w:tbl>
      <w:tblPr>
        <w:tblStyle w:val="1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17"/>
        <w:gridCol w:w="1363"/>
        <w:gridCol w:w="1260"/>
        <w:gridCol w:w="1260"/>
        <w:gridCol w:w="1080"/>
        <w:gridCol w:w="900"/>
      </w:tblGrid>
      <w:tr w14:paraId="42D12BC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2C45169C">
            <w:pPr>
              <w:spacing w:before="120"/>
            </w:pPr>
            <w:r>
              <w:rPr>
                <w:rFonts w:hint="eastAsia" w:ascii="宋体"/>
                <w:sz w:val="24"/>
              </w:rPr>
              <w:t>序号</w:t>
            </w:r>
          </w:p>
        </w:tc>
        <w:tc>
          <w:tcPr>
            <w:tcW w:w="1517" w:type="dxa"/>
            <w:tcBorders>
              <w:top w:val="single" w:color="auto" w:sz="4" w:space="0"/>
              <w:left w:val="single" w:color="auto" w:sz="4" w:space="0"/>
              <w:bottom w:val="single" w:color="auto" w:sz="4" w:space="0"/>
              <w:right w:val="single" w:color="auto" w:sz="4" w:space="0"/>
            </w:tcBorders>
          </w:tcPr>
          <w:p w14:paraId="0395AFB8">
            <w:pPr>
              <w:spacing w:before="120"/>
            </w:pPr>
            <w:r>
              <w:rPr>
                <w:rFonts w:hint="eastAsia" w:ascii="宋体"/>
                <w:sz w:val="24"/>
              </w:rPr>
              <w:t>货物名称</w:t>
            </w:r>
          </w:p>
        </w:tc>
        <w:tc>
          <w:tcPr>
            <w:tcW w:w="1363" w:type="dxa"/>
            <w:tcBorders>
              <w:top w:val="single" w:color="auto" w:sz="4" w:space="0"/>
              <w:left w:val="single" w:color="auto" w:sz="4" w:space="0"/>
              <w:bottom w:val="single" w:color="auto" w:sz="4" w:space="0"/>
              <w:right w:val="single" w:color="auto" w:sz="4" w:space="0"/>
            </w:tcBorders>
          </w:tcPr>
          <w:p w14:paraId="3E79E5D3">
            <w:pPr>
              <w:spacing w:before="120"/>
              <w:ind w:left="240" w:hanging="240" w:hangingChars="100"/>
            </w:pPr>
            <w:r>
              <w:rPr>
                <w:rFonts w:hint="eastAsia" w:ascii="宋体"/>
                <w:sz w:val="24"/>
              </w:rPr>
              <w:t>招标文件条目号</w:t>
            </w:r>
          </w:p>
        </w:tc>
        <w:tc>
          <w:tcPr>
            <w:tcW w:w="1260" w:type="dxa"/>
            <w:tcBorders>
              <w:top w:val="single" w:color="auto" w:sz="4" w:space="0"/>
              <w:left w:val="single" w:color="auto" w:sz="4" w:space="0"/>
              <w:bottom w:val="single" w:color="auto" w:sz="4" w:space="0"/>
              <w:right w:val="single" w:color="auto" w:sz="4" w:space="0"/>
            </w:tcBorders>
          </w:tcPr>
          <w:p w14:paraId="37B943E8">
            <w:pPr>
              <w:spacing w:before="120"/>
            </w:pPr>
            <w:r>
              <w:rPr>
                <w:rFonts w:hint="eastAsia" w:ascii="宋体"/>
                <w:sz w:val="24"/>
              </w:rPr>
              <w:t>招标规格</w:t>
            </w:r>
          </w:p>
        </w:tc>
        <w:tc>
          <w:tcPr>
            <w:tcW w:w="1260" w:type="dxa"/>
            <w:tcBorders>
              <w:top w:val="single" w:color="auto" w:sz="4" w:space="0"/>
              <w:left w:val="single" w:color="auto" w:sz="4" w:space="0"/>
              <w:bottom w:val="single" w:color="auto" w:sz="4" w:space="0"/>
              <w:right w:val="single" w:color="auto" w:sz="4" w:space="0"/>
            </w:tcBorders>
          </w:tcPr>
          <w:p w14:paraId="046D2718">
            <w:pPr>
              <w:spacing w:before="120"/>
            </w:pPr>
            <w:r>
              <w:rPr>
                <w:rFonts w:hint="eastAsia" w:ascii="宋体"/>
                <w:sz w:val="24"/>
              </w:rPr>
              <w:t>投标规格</w:t>
            </w:r>
          </w:p>
        </w:tc>
        <w:tc>
          <w:tcPr>
            <w:tcW w:w="1080" w:type="dxa"/>
            <w:tcBorders>
              <w:top w:val="single" w:color="auto" w:sz="4" w:space="0"/>
              <w:left w:val="single" w:color="auto" w:sz="4" w:space="0"/>
              <w:bottom w:val="single" w:color="auto" w:sz="4" w:space="0"/>
              <w:right w:val="single" w:color="auto" w:sz="4" w:space="0"/>
            </w:tcBorders>
          </w:tcPr>
          <w:p w14:paraId="3D4C70F8">
            <w:pPr>
              <w:spacing w:before="120"/>
            </w:pPr>
            <w:r>
              <w:rPr>
                <w:rFonts w:hint="eastAsia" w:ascii="宋体"/>
                <w:sz w:val="24"/>
              </w:rPr>
              <w:t>响应/偏离</w:t>
            </w:r>
          </w:p>
        </w:tc>
        <w:tc>
          <w:tcPr>
            <w:tcW w:w="900" w:type="dxa"/>
            <w:tcBorders>
              <w:top w:val="single" w:color="auto" w:sz="4" w:space="0"/>
              <w:left w:val="single" w:color="auto" w:sz="4" w:space="0"/>
              <w:bottom w:val="single" w:color="auto" w:sz="4" w:space="0"/>
              <w:right w:val="single" w:color="auto" w:sz="4" w:space="0"/>
            </w:tcBorders>
          </w:tcPr>
          <w:p w14:paraId="28678F06">
            <w:pPr>
              <w:spacing w:before="120"/>
            </w:pPr>
            <w:r>
              <w:rPr>
                <w:rFonts w:hint="eastAsia" w:ascii="宋体"/>
                <w:sz w:val="24"/>
              </w:rPr>
              <w:t>说明</w:t>
            </w:r>
            <w:r>
              <w:rPr>
                <w:rFonts w:ascii="宋体"/>
                <w:sz w:val="24"/>
              </w:rPr>
              <w:t xml:space="preserve"> </w:t>
            </w:r>
          </w:p>
        </w:tc>
      </w:tr>
      <w:tr w14:paraId="7594F97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4DD662D9">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7F165D4F">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7C483CCC">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C8AAF3A">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236C20DA">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4BC50C5F">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2A8113CD">
            <w:pPr>
              <w:spacing w:before="120"/>
              <w:rPr>
                <w:rFonts w:hint="eastAsia" w:ascii="宋体"/>
                <w:sz w:val="24"/>
              </w:rPr>
            </w:pPr>
          </w:p>
        </w:tc>
      </w:tr>
      <w:tr w14:paraId="3B67AA2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3D563572">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74FB44C6">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25923311">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C0C848D">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7307155">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77F89988">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4367B08F">
            <w:pPr>
              <w:spacing w:before="120"/>
              <w:rPr>
                <w:rFonts w:hint="eastAsia" w:ascii="宋体"/>
                <w:sz w:val="24"/>
              </w:rPr>
            </w:pPr>
          </w:p>
        </w:tc>
      </w:tr>
      <w:tr w14:paraId="7025207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6E80355D">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515F8401">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561320EF">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3AA96F71">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356BE222">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3A060094">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04AADD6B">
            <w:pPr>
              <w:spacing w:before="120"/>
              <w:rPr>
                <w:rFonts w:hint="eastAsia" w:ascii="宋体"/>
                <w:sz w:val="24"/>
              </w:rPr>
            </w:pPr>
          </w:p>
        </w:tc>
      </w:tr>
      <w:tr w14:paraId="0B91F71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20C098F6">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7664535A">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0AFAF167">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2394269A">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39D11A27">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6495D20B">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27585C1F">
            <w:pPr>
              <w:spacing w:before="120"/>
              <w:rPr>
                <w:rFonts w:hint="eastAsia" w:ascii="宋体"/>
                <w:sz w:val="24"/>
              </w:rPr>
            </w:pPr>
          </w:p>
        </w:tc>
      </w:tr>
      <w:tr w14:paraId="7E5F8AC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30DE98AC">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4AA45F2A">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1E9AB4AF">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45F24DBA">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7C934968">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0C46F04C">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746C7A5F">
            <w:pPr>
              <w:spacing w:before="120"/>
              <w:rPr>
                <w:rFonts w:hint="eastAsia" w:ascii="宋体"/>
                <w:sz w:val="24"/>
              </w:rPr>
            </w:pPr>
          </w:p>
        </w:tc>
      </w:tr>
      <w:tr w14:paraId="3075E2A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643EF042">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68A2F889">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34CE4FDD">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5272102B">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B355B03">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15FDCB49">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11717BE4">
            <w:pPr>
              <w:spacing w:before="120"/>
              <w:rPr>
                <w:rFonts w:hint="eastAsia" w:ascii="宋体"/>
                <w:sz w:val="24"/>
              </w:rPr>
            </w:pPr>
          </w:p>
        </w:tc>
      </w:tr>
      <w:tr w14:paraId="560FC97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703FB142">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36F3E6D7">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1C6E2FE2">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3896C154">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5BC40F4E">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3470305B">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22B2E4BA">
            <w:pPr>
              <w:spacing w:before="120"/>
              <w:rPr>
                <w:rFonts w:hint="eastAsia" w:ascii="宋体"/>
                <w:sz w:val="24"/>
              </w:rPr>
            </w:pPr>
          </w:p>
        </w:tc>
      </w:tr>
      <w:tr w14:paraId="3DFA59C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5CB5D8DF">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18A7F658">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2D73E311">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A9765B5">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2351A1A4">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1A34D84E">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1018569B">
            <w:pPr>
              <w:spacing w:before="120"/>
              <w:rPr>
                <w:rFonts w:hint="eastAsia" w:ascii="宋体"/>
                <w:sz w:val="24"/>
              </w:rPr>
            </w:pPr>
          </w:p>
        </w:tc>
      </w:tr>
      <w:tr w14:paraId="7AE2937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58105544">
            <w:pPr>
              <w:spacing w:before="120"/>
              <w:rPr>
                <w:rFonts w:hint="eastAsia" w:ascii="宋体"/>
                <w:sz w:val="24"/>
              </w:rPr>
            </w:pPr>
          </w:p>
        </w:tc>
        <w:tc>
          <w:tcPr>
            <w:tcW w:w="1517" w:type="dxa"/>
            <w:tcBorders>
              <w:top w:val="single" w:color="auto" w:sz="4" w:space="0"/>
              <w:left w:val="single" w:color="auto" w:sz="4" w:space="0"/>
              <w:bottom w:val="single" w:color="auto" w:sz="4" w:space="0"/>
              <w:right w:val="single" w:color="auto" w:sz="4" w:space="0"/>
            </w:tcBorders>
          </w:tcPr>
          <w:p w14:paraId="5143518A">
            <w:pPr>
              <w:spacing w:before="120"/>
              <w:rPr>
                <w:rFonts w:hint="eastAsia" w:ascii="宋体"/>
                <w:sz w:val="24"/>
              </w:rPr>
            </w:pPr>
          </w:p>
        </w:tc>
        <w:tc>
          <w:tcPr>
            <w:tcW w:w="1363" w:type="dxa"/>
            <w:tcBorders>
              <w:top w:val="single" w:color="auto" w:sz="4" w:space="0"/>
              <w:left w:val="single" w:color="auto" w:sz="4" w:space="0"/>
              <w:bottom w:val="single" w:color="auto" w:sz="4" w:space="0"/>
              <w:right w:val="single" w:color="auto" w:sz="4" w:space="0"/>
            </w:tcBorders>
          </w:tcPr>
          <w:p w14:paraId="67AFB5A4">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27F057B">
            <w:pPr>
              <w:spacing w:before="120"/>
              <w:rPr>
                <w:rFonts w:hint="eastAsia" w:ascii="宋体"/>
                <w:sz w:val="24"/>
              </w:rPr>
            </w:pPr>
          </w:p>
        </w:tc>
        <w:tc>
          <w:tcPr>
            <w:tcW w:w="1260" w:type="dxa"/>
            <w:tcBorders>
              <w:top w:val="single" w:color="auto" w:sz="4" w:space="0"/>
              <w:left w:val="single" w:color="auto" w:sz="4" w:space="0"/>
              <w:bottom w:val="single" w:color="auto" w:sz="4" w:space="0"/>
              <w:right w:val="single" w:color="auto" w:sz="4" w:space="0"/>
            </w:tcBorders>
          </w:tcPr>
          <w:p w14:paraId="50F8743A">
            <w:pPr>
              <w:spacing w:before="120"/>
              <w:rPr>
                <w:rFonts w:hint="eastAsia" w:ascii="宋体"/>
                <w:sz w:val="24"/>
              </w:rPr>
            </w:pPr>
          </w:p>
        </w:tc>
        <w:tc>
          <w:tcPr>
            <w:tcW w:w="1080" w:type="dxa"/>
            <w:tcBorders>
              <w:top w:val="single" w:color="auto" w:sz="4" w:space="0"/>
              <w:left w:val="single" w:color="auto" w:sz="4" w:space="0"/>
              <w:bottom w:val="single" w:color="auto" w:sz="4" w:space="0"/>
              <w:right w:val="single" w:color="auto" w:sz="4" w:space="0"/>
            </w:tcBorders>
          </w:tcPr>
          <w:p w14:paraId="1F2E5F30">
            <w:pPr>
              <w:spacing w:before="120"/>
              <w:rPr>
                <w:rFonts w:hint="eastAsia" w:ascii="宋体"/>
                <w:sz w:val="24"/>
              </w:rPr>
            </w:pPr>
          </w:p>
        </w:tc>
        <w:tc>
          <w:tcPr>
            <w:tcW w:w="900" w:type="dxa"/>
            <w:tcBorders>
              <w:top w:val="single" w:color="auto" w:sz="4" w:space="0"/>
              <w:left w:val="single" w:color="auto" w:sz="4" w:space="0"/>
              <w:bottom w:val="single" w:color="auto" w:sz="4" w:space="0"/>
              <w:right w:val="single" w:color="auto" w:sz="4" w:space="0"/>
            </w:tcBorders>
          </w:tcPr>
          <w:p w14:paraId="2554602F">
            <w:pPr>
              <w:spacing w:before="120"/>
              <w:rPr>
                <w:rFonts w:hint="eastAsia" w:ascii="宋体"/>
                <w:sz w:val="24"/>
              </w:rPr>
            </w:pPr>
          </w:p>
        </w:tc>
      </w:tr>
    </w:tbl>
    <w:p w14:paraId="7FB3E1BF">
      <w:pPr>
        <w:pStyle w:val="6"/>
      </w:pPr>
    </w:p>
    <w:p w14:paraId="03EEF3D8">
      <w:pPr>
        <w:pStyle w:val="5"/>
        <w:ind w:left="480" w:hanging="480" w:hangingChars="200"/>
        <w:rPr>
          <w:rFonts w:hint="eastAsia" w:ascii="宋体" w:eastAsia="宋体"/>
          <w:sz w:val="24"/>
        </w:rPr>
      </w:pPr>
      <w:r>
        <w:rPr>
          <w:rFonts w:hint="eastAsia" w:ascii="宋体" w:eastAsia="宋体"/>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14:paraId="512830BC">
      <w:pPr>
        <w:pStyle w:val="5"/>
        <w:rPr>
          <w:rFonts w:hint="eastAsia"/>
        </w:rPr>
      </w:pPr>
    </w:p>
    <w:p w14:paraId="04B716AE">
      <w:pPr>
        <w:pStyle w:val="6"/>
        <w:rPr>
          <w:rFonts w:hint="eastAsia"/>
        </w:rPr>
      </w:pPr>
    </w:p>
    <w:p w14:paraId="518761F0">
      <w:r>
        <w:rPr>
          <w:rFonts w:hint="eastAsia" w:ascii="宋体"/>
          <w:sz w:val="24"/>
        </w:rPr>
        <w:t>投标人名称：</w:t>
      </w:r>
      <w:r>
        <w:rPr>
          <w:rFonts w:ascii="宋体"/>
          <w:sz w:val="24"/>
        </w:rPr>
        <w:t xml:space="preserve"> </w:t>
      </w:r>
      <w:r>
        <w:rPr>
          <w:sz w:val="24"/>
        </w:rPr>
        <w:t xml:space="preserve">_____________________ </w:t>
      </w:r>
    </w:p>
    <w:p w14:paraId="0AF3C896">
      <w:r>
        <w:rPr>
          <w:rFonts w:hint="eastAsia" w:ascii="宋体"/>
          <w:sz w:val="24"/>
        </w:rPr>
        <w:t>投标人代表签字盖章：</w:t>
      </w:r>
      <w:r>
        <w:rPr>
          <w:sz w:val="24"/>
        </w:rPr>
        <w:t xml:space="preserve">________________ </w:t>
      </w:r>
    </w:p>
    <w:bookmarkEnd w:id="2"/>
    <w:p w14:paraId="6F524FF3">
      <w:pPr>
        <w:spacing w:line="360" w:lineRule="auto"/>
        <w:rPr>
          <w:rFonts w:hint="eastAsia"/>
          <w:sz w:val="24"/>
        </w:rPr>
      </w:pPr>
    </w:p>
    <w:p w14:paraId="798322BF">
      <w:pPr>
        <w:rPr>
          <w:rFonts w:hint="eastAsia" w:ascii="宋体"/>
          <w:sz w:val="24"/>
        </w:rPr>
      </w:pPr>
    </w:p>
    <w:p w14:paraId="09DD12DF">
      <w:pPr>
        <w:rPr>
          <w:rFonts w:hint="eastAsia" w:ascii="宋体"/>
          <w:sz w:val="24"/>
        </w:rPr>
      </w:pPr>
    </w:p>
    <w:p w14:paraId="6A2BAE8A">
      <w:pPr>
        <w:rPr>
          <w:rFonts w:hint="eastAsia" w:ascii="宋体"/>
          <w:sz w:val="24"/>
        </w:rPr>
      </w:pPr>
    </w:p>
    <w:p w14:paraId="3E91E33D">
      <w:pPr>
        <w:rPr>
          <w:rFonts w:hint="eastAsia" w:ascii="宋体"/>
          <w:sz w:val="24"/>
        </w:rPr>
      </w:pPr>
    </w:p>
    <w:p w14:paraId="3BC4BB24">
      <w:pPr>
        <w:rPr>
          <w:rFonts w:hint="eastAsia" w:ascii="宋体"/>
          <w:sz w:val="24"/>
        </w:rPr>
      </w:pPr>
    </w:p>
    <w:p w14:paraId="4384A141">
      <w:pPr>
        <w:rPr>
          <w:rFonts w:hint="eastAsia" w:ascii="宋体"/>
          <w:sz w:val="24"/>
        </w:rPr>
      </w:pPr>
    </w:p>
    <w:p w14:paraId="2EA73A63">
      <w:pPr>
        <w:rPr>
          <w:b/>
        </w:rPr>
      </w:pPr>
      <w:r>
        <w:rPr>
          <w:rFonts w:hint="eastAsia" w:ascii="宋体"/>
          <w:b/>
          <w:sz w:val="24"/>
        </w:rPr>
        <w:t>2</w:t>
      </w:r>
      <w:r>
        <w:rPr>
          <w:rFonts w:ascii="宋体"/>
          <w:b/>
          <w:sz w:val="24"/>
        </w:rPr>
        <w:t xml:space="preserve">.2 </w:t>
      </w:r>
      <w:r>
        <w:rPr>
          <w:rFonts w:hint="eastAsia" w:ascii="宋体"/>
          <w:b/>
          <w:sz w:val="24"/>
        </w:rPr>
        <w:t>商务条款响应/偏离表</w:t>
      </w:r>
      <w:r>
        <w:rPr>
          <w:rFonts w:ascii="宋体"/>
          <w:b/>
          <w:sz w:val="24"/>
        </w:rPr>
        <w:t xml:space="preserve"> </w:t>
      </w:r>
    </w:p>
    <w:p w14:paraId="00791317">
      <w:pPr>
        <w:ind w:firstLine="240" w:firstLineChars="100"/>
      </w:pPr>
      <w:r>
        <w:rPr>
          <w:rFonts w:hint="eastAsia" w:ascii="宋体"/>
          <w:sz w:val="24"/>
        </w:rPr>
        <w:t>招标编号：</w:t>
      </w:r>
      <w:r>
        <w:rPr>
          <w:rFonts w:ascii="宋体"/>
          <w:sz w:val="24"/>
        </w:rPr>
        <w:t xml:space="preserve"> </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88"/>
        <w:gridCol w:w="1688"/>
        <w:gridCol w:w="1688"/>
        <w:gridCol w:w="1688"/>
      </w:tblGrid>
      <w:tr w14:paraId="20CEE66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688" w:type="dxa"/>
            <w:tcBorders>
              <w:top w:val="single" w:color="auto" w:sz="4" w:space="0"/>
              <w:left w:val="single" w:color="auto" w:sz="4" w:space="0"/>
              <w:bottom w:val="single" w:color="auto" w:sz="4" w:space="0"/>
              <w:right w:val="single" w:color="auto" w:sz="4" w:space="0"/>
            </w:tcBorders>
            <w:vAlign w:val="center"/>
          </w:tcPr>
          <w:p w14:paraId="22D4634D">
            <w:pPr>
              <w:spacing w:before="120"/>
            </w:pPr>
            <w:r>
              <w:rPr>
                <w:rFonts w:hint="eastAsia" w:ascii="宋体"/>
                <w:sz w:val="24"/>
              </w:rPr>
              <w:t>序号</w:t>
            </w:r>
          </w:p>
        </w:tc>
        <w:tc>
          <w:tcPr>
            <w:tcW w:w="1688" w:type="dxa"/>
            <w:tcBorders>
              <w:top w:val="single" w:color="auto" w:sz="4" w:space="0"/>
              <w:left w:val="single" w:color="auto" w:sz="4" w:space="0"/>
              <w:right w:val="single" w:color="auto" w:sz="4" w:space="0"/>
            </w:tcBorders>
            <w:vAlign w:val="center"/>
          </w:tcPr>
          <w:p w14:paraId="78AB16C2">
            <w:pPr>
              <w:spacing w:before="120"/>
            </w:pPr>
            <w:r>
              <w:rPr>
                <w:rFonts w:hint="eastAsia" w:ascii="宋体"/>
                <w:sz w:val="24"/>
              </w:rPr>
              <w:t>招标文件条目号</w:t>
            </w:r>
          </w:p>
        </w:tc>
        <w:tc>
          <w:tcPr>
            <w:tcW w:w="1688" w:type="dxa"/>
            <w:tcBorders>
              <w:top w:val="single" w:color="auto" w:sz="4" w:space="0"/>
              <w:left w:val="single" w:color="auto" w:sz="4" w:space="0"/>
              <w:right w:val="single" w:color="auto" w:sz="4" w:space="0"/>
            </w:tcBorders>
            <w:vAlign w:val="center"/>
          </w:tcPr>
          <w:p w14:paraId="09A42693">
            <w:pPr>
              <w:spacing w:before="120"/>
              <w:ind w:left="240" w:hanging="240" w:hangingChars="100"/>
            </w:pPr>
            <w:r>
              <w:rPr>
                <w:rFonts w:hint="eastAsia" w:ascii="宋体"/>
                <w:sz w:val="24"/>
              </w:rPr>
              <w:t>招标文件的商务条款</w:t>
            </w:r>
          </w:p>
        </w:tc>
        <w:tc>
          <w:tcPr>
            <w:tcW w:w="1688" w:type="dxa"/>
            <w:tcBorders>
              <w:top w:val="single" w:color="auto" w:sz="4" w:space="0"/>
              <w:left w:val="single" w:color="auto" w:sz="4" w:space="0"/>
              <w:right w:val="single" w:color="auto" w:sz="4" w:space="0"/>
            </w:tcBorders>
            <w:vAlign w:val="center"/>
          </w:tcPr>
          <w:p w14:paraId="1582A0FF">
            <w:pPr>
              <w:spacing w:before="120"/>
              <w:ind w:left="240" w:hanging="240" w:hangingChars="100"/>
            </w:pPr>
            <w:r>
              <w:rPr>
                <w:rFonts w:hint="eastAsia" w:ascii="宋体"/>
                <w:sz w:val="24"/>
              </w:rPr>
              <w:t>投标文件的商务条款</w:t>
            </w:r>
          </w:p>
        </w:tc>
        <w:tc>
          <w:tcPr>
            <w:tcW w:w="1688" w:type="dxa"/>
            <w:tcBorders>
              <w:top w:val="single" w:color="auto" w:sz="4" w:space="0"/>
              <w:left w:val="single" w:color="auto" w:sz="4" w:space="0"/>
              <w:right w:val="single" w:color="auto" w:sz="4" w:space="0"/>
            </w:tcBorders>
            <w:vAlign w:val="center"/>
          </w:tcPr>
          <w:p w14:paraId="5F1F4947">
            <w:pPr>
              <w:spacing w:before="120"/>
            </w:pPr>
            <w:r>
              <w:rPr>
                <w:rFonts w:hint="eastAsia" w:ascii="宋体"/>
                <w:sz w:val="24"/>
              </w:rPr>
              <w:t>说明</w:t>
            </w:r>
            <w:r>
              <w:rPr>
                <w:rFonts w:ascii="宋体"/>
                <w:sz w:val="24"/>
              </w:rPr>
              <w:t xml:space="preserve"> </w:t>
            </w:r>
          </w:p>
        </w:tc>
      </w:tr>
      <w:tr w14:paraId="28F82A1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563AC692">
            <w:pPr>
              <w:spacing w:before="120"/>
              <w:rPr>
                <w:rFonts w:hint="eastAsia" w:ascii="宋体"/>
                <w:sz w:val="24"/>
              </w:rPr>
            </w:pPr>
          </w:p>
        </w:tc>
        <w:tc>
          <w:tcPr>
            <w:tcW w:w="1688" w:type="dxa"/>
            <w:tcBorders>
              <w:left w:val="single" w:color="auto" w:sz="4" w:space="0"/>
              <w:right w:val="single" w:color="auto" w:sz="4" w:space="0"/>
            </w:tcBorders>
            <w:vAlign w:val="center"/>
          </w:tcPr>
          <w:p w14:paraId="082AF234">
            <w:pPr>
              <w:spacing w:before="120"/>
              <w:rPr>
                <w:rFonts w:hint="eastAsia" w:ascii="宋体"/>
                <w:sz w:val="24"/>
              </w:rPr>
            </w:pPr>
          </w:p>
        </w:tc>
        <w:tc>
          <w:tcPr>
            <w:tcW w:w="1688" w:type="dxa"/>
            <w:tcBorders>
              <w:left w:val="single" w:color="auto" w:sz="4" w:space="0"/>
              <w:right w:val="single" w:color="auto" w:sz="4" w:space="0"/>
            </w:tcBorders>
            <w:vAlign w:val="center"/>
          </w:tcPr>
          <w:p w14:paraId="5742B58C">
            <w:pPr>
              <w:spacing w:before="120"/>
              <w:rPr>
                <w:rFonts w:hint="eastAsia" w:ascii="宋体"/>
                <w:sz w:val="24"/>
              </w:rPr>
            </w:pPr>
          </w:p>
        </w:tc>
        <w:tc>
          <w:tcPr>
            <w:tcW w:w="1688" w:type="dxa"/>
            <w:tcBorders>
              <w:left w:val="single" w:color="auto" w:sz="4" w:space="0"/>
              <w:right w:val="single" w:color="auto" w:sz="4" w:space="0"/>
            </w:tcBorders>
            <w:vAlign w:val="center"/>
          </w:tcPr>
          <w:p w14:paraId="16CECA18">
            <w:pPr>
              <w:spacing w:before="120"/>
              <w:rPr>
                <w:rFonts w:hint="eastAsia" w:ascii="宋体"/>
                <w:sz w:val="24"/>
              </w:rPr>
            </w:pPr>
          </w:p>
        </w:tc>
        <w:tc>
          <w:tcPr>
            <w:tcW w:w="1688" w:type="dxa"/>
            <w:tcBorders>
              <w:left w:val="single" w:color="auto" w:sz="4" w:space="0"/>
              <w:right w:val="single" w:color="auto" w:sz="4" w:space="0"/>
            </w:tcBorders>
            <w:vAlign w:val="center"/>
          </w:tcPr>
          <w:p w14:paraId="31FF311C">
            <w:pPr>
              <w:spacing w:before="120"/>
              <w:rPr>
                <w:rFonts w:hint="eastAsia" w:ascii="宋体"/>
                <w:sz w:val="24"/>
              </w:rPr>
            </w:pPr>
          </w:p>
        </w:tc>
      </w:tr>
      <w:tr w14:paraId="731FD6B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1A659017">
            <w:pPr>
              <w:spacing w:before="120"/>
              <w:rPr>
                <w:rFonts w:hint="eastAsia" w:ascii="宋体"/>
                <w:sz w:val="24"/>
              </w:rPr>
            </w:pPr>
          </w:p>
        </w:tc>
        <w:tc>
          <w:tcPr>
            <w:tcW w:w="1688" w:type="dxa"/>
            <w:tcBorders>
              <w:left w:val="single" w:color="auto" w:sz="4" w:space="0"/>
              <w:right w:val="single" w:color="auto" w:sz="4" w:space="0"/>
            </w:tcBorders>
            <w:vAlign w:val="center"/>
          </w:tcPr>
          <w:p w14:paraId="52CC3462">
            <w:pPr>
              <w:spacing w:before="120"/>
              <w:rPr>
                <w:rFonts w:hint="eastAsia" w:ascii="宋体"/>
                <w:sz w:val="24"/>
              </w:rPr>
            </w:pPr>
          </w:p>
        </w:tc>
        <w:tc>
          <w:tcPr>
            <w:tcW w:w="1688" w:type="dxa"/>
            <w:tcBorders>
              <w:left w:val="single" w:color="auto" w:sz="4" w:space="0"/>
              <w:right w:val="single" w:color="auto" w:sz="4" w:space="0"/>
            </w:tcBorders>
            <w:vAlign w:val="center"/>
          </w:tcPr>
          <w:p w14:paraId="1DEDF248">
            <w:pPr>
              <w:spacing w:before="120"/>
              <w:rPr>
                <w:rFonts w:hint="eastAsia" w:ascii="宋体"/>
                <w:sz w:val="24"/>
              </w:rPr>
            </w:pPr>
          </w:p>
        </w:tc>
        <w:tc>
          <w:tcPr>
            <w:tcW w:w="1688" w:type="dxa"/>
            <w:tcBorders>
              <w:left w:val="single" w:color="auto" w:sz="4" w:space="0"/>
              <w:right w:val="single" w:color="auto" w:sz="4" w:space="0"/>
            </w:tcBorders>
            <w:vAlign w:val="center"/>
          </w:tcPr>
          <w:p w14:paraId="6C8E3FE2">
            <w:pPr>
              <w:spacing w:before="120"/>
              <w:rPr>
                <w:rFonts w:hint="eastAsia" w:ascii="宋体"/>
                <w:sz w:val="24"/>
              </w:rPr>
            </w:pPr>
          </w:p>
        </w:tc>
        <w:tc>
          <w:tcPr>
            <w:tcW w:w="1688" w:type="dxa"/>
            <w:tcBorders>
              <w:left w:val="single" w:color="auto" w:sz="4" w:space="0"/>
              <w:right w:val="single" w:color="auto" w:sz="4" w:space="0"/>
            </w:tcBorders>
            <w:vAlign w:val="center"/>
          </w:tcPr>
          <w:p w14:paraId="0F07A18A">
            <w:pPr>
              <w:spacing w:before="120"/>
              <w:rPr>
                <w:rFonts w:hint="eastAsia" w:ascii="宋体"/>
                <w:sz w:val="24"/>
              </w:rPr>
            </w:pPr>
          </w:p>
        </w:tc>
      </w:tr>
      <w:tr w14:paraId="27B9C76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7577F229">
            <w:pPr>
              <w:spacing w:before="120"/>
              <w:rPr>
                <w:rFonts w:hint="eastAsia" w:ascii="宋体"/>
                <w:sz w:val="24"/>
              </w:rPr>
            </w:pPr>
          </w:p>
        </w:tc>
        <w:tc>
          <w:tcPr>
            <w:tcW w:w="1688" w:type="dxa"/>
            <w:tcBorders>
              <w:left w:val="single" w:color="auto" w:sz="4" w:space="0"/>
              <w:right w:val="single" w:color="auto" w:sz="4" w:space="0"/>
            </w:tcBorders>
            <w:vAlign w:val="center"/>
          </w:tcPr>
          <w:p w14:paraId="39EBA90F">
            <w:pPr>
              <w:spacing w:before="120"/>
              <w:rPr>
                <w:rFonts w:hint="eastAsia" w:ascii="宋体"/>
                <w:sz w:val="24"/>
              </w:rPr>
            </w:pPr>
          </w:p>
        </w:tc>
        <w:tc>
          <w:tcPr>
            <w:tcW w:w="1688" w:type="dxa"/>
            <w:tcBorders>
              <w:left w:val="single" w:color="auto" w:sz="4" w:space="0"/>
              <w:right w:val="single" w:color="auto" w:sz="4" w:space="0"/>
            </w:tcBorders>
            <w:vAlign w:val="center"/>
          </w:tcPr>
          <w:p w14:paraId="12C1976E">
            <w:pPr>
              <w:spacing w:before="120"/>
              <w:rPr>
                <w:rFonts w:hint="eastAsia" w:ascii="宋体"/>
                <w:sz w:val="24"/>
              </w:rPr>
            </w:pPr>
          </w:p>
        </w:tc>
        <w:tc>
          <w:tcPr>
            <w:tcW w:w="1688" w:type="dxa"/>
            <w:tcBorders>
              <w:left w:val="single" w:color="auto" w:sz="4" w:space="0"/>
              <w:right w:val="single" w:color="auto" w:sz="4" w:space="0"/>
            </w:tcBorders>
            <w:vAlign w:val="center"/>
          </w:tcPr>
          <w:p w14:paraId="7790CF98">
            <w:pPr>
              <w:spacing w:before="120"/>
              <w:rPr>
                <w:rFonts w:hint="eastAsia" w:ascii="宋体"/>
                <w:sz w:val="24"/>
              </w:rPr>
            </w:pPr>
          </w:p>
        </w:tc>
        <w:tc>
          <w:tcPr>
            <w:tcW w:w="1688" w:type="dxa"/>
            <w:tcBorders>
              <w:left w:val="single" w:color="auto" w:sz="4" w:space="0"/>
              <w:right w:val="single" w:color="auto" w:sz="4" w:space="0"/>
            </w:tcBorders>
            <w:vAlign w:val="center"/>
          </w:tcPr>
          <w:p w14:paraId="7F70C600">
            <w:pPr>
              <w:spacing w:before="120"/>
              <w:rPr>
                <w:rFonts w:hint="eastAsia" w:ascii="宋体"/>
                <w:sz w:val="24"/>
              </w:rPr>
            </w:pPr>
          </w:p>
        </w:tc>
      </w:tr>
      <w:tr w14:paraId="362A06B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3D73EE09">
            <w:pPr>
              <w:spacing w:before="120"/>
              <w:rPr>
                <w:rFonts w:hint="eastAsia" w:ascii="宋体"/>
                <w:sz w:val="24"/>
              </w:rPr>
            </w:pPr>
          </w:p>
        </w:tc>
        <w:tc>
          <w:tcPr>
            <w:tcW w:w="1688" w:type="dxa"/>
            <w:tcBorders>
              <w:left w:val="single" w:color="auto" w:sz="4" w:space="0"/>
              <w:right w:val="single" w:color="auto" w:sz="4" w:space="0"/>
            </w:tcBorders>
            <w:vAlign w:val="center"/>
          </w:tcPr>
          <w:p w14:paraId="65449E23">
            <w:pPr>
              <w:spacing w:before="120"/>
              <w:rPr>
                <w:rFonts w:hint="eastAsia" w:ascii="宋体"/>
                <w:sz w:val="24"/>
              </w:rPr>
            </w:pPr>
          </w:p>
        </w:tc>
        <w:tc>
          <w:tcPr>
            <w:tcW w:w="1688" w:type="dxa"/>
            <w:tcBorders>
              <w:left w:val="single" w:color="auto" w:sz="4" w:space="0"/>
              <w:right w:val="single" w:color="auto" w:sz="4" w:space="0"/>
            </w:tcBorders>
            <w:vAlign w:val="center"/>
          </w:tcPr>
          <w:p w14:paraId="2FF0184A">
            <w:pPr>
              <w:spacing w:before="120"/>
              <w:rPr>
                <w:rFonts w:hint="eastAsia" w:ascii="宋体"/>
                <w:sz w:val="24"/>
              </w:rPr>
            </w:pPr>
          </w:p>
        </w:tc>
        <w:tc>
          <w:tcPr>
            <w:tcW w:w="1688" w:type="dxa"/>
            <w:tcBorders>
              <w:left w:val="single" w:color="auto" w:sz="4" w:space="0"/>
              <w:right w:val="single" w:color="auto" w:sz="4" w:space="0"/>
            </w:tcBorders>
            <w:vAlign w:val="center"/>
          </w:tcPr>
          <w:p w14:paraId="72F14874">
            <w:pPr>
              <w:spacing w:before="120"/>
              <w:rPr>
                <w:rFonts w:hint="eastAsia" w:ascii="宋体"/>
                <w:sz w:val="24"/>
              </w:rPr>
            </w:pPr>
          </w:p>
        </w:tc>
        <w:tc>
          <w:tcPr>
            <w:tcW w:w="1688" w:type="dxa"/>
            <w:tcBorders>
              <w:left w:val="single" w:color="auto" w:sz="4" w:space="0"/>
              <w:right w:val="single" w:color="auto" w:sz="4" w:space="0"/>
            </w:tcBorders>
            <w:vAlign w:val="center"/>
          </w:tcPr>
          <w:p w14:paraId="6BE3EA43">
            <w:pPr>
              <w:spacing w:before="120"/>
              <w:rPr>
                <w:rFonts w:hint="eastAsia" w:ascii="宋体"/>
                <w:sz w:val="24"/>
              </w:rPr>
            </w:pPr>
          </w:p>
        </w:tc>
      </w:tr>
      <w:tr w14:paraId="2D95451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7178890">
            <w:pPr>
              <w:spacing w:before="120"/>
              <w:rPr>
                <w:rFonts w:hint="eastAsia" w:ascii="宋体"/>
                <w:sz w:val="24"/>
              </w:rPr>
            </w:pPr>
          </w:p>
        </w:tc>
        <w:tc>
          <w:tcPr>
            <w:tcW w:w="1688" w:type="dxa"/>
            <w:tcBorders>
              <w:left w:val="single" w:color="auto" w:sz="4" w:space="0"/>
              <w:right w:val="single" w:color="auto" w:sz="4" w:space="0"/>
            </w:tcBorders>
            <w:vAlign w:val="center"/>
          </w:tcPr>
          <w:p w14:paraId="6D81BE84">
            <w:pPr>
              <w:spacing w:before="120"/>
              <w:rPr>
                <w:rFonts w:hint="eastAsia" w:ascii="宋体"/>
                <w:sz w:val="24"/>
              </w:rPr>
            </w:pPr>
          </w:p>
        </w:tc>
        <w:tc>
          <w:tcPr>
            <w:tcW w:w="1688" w:type="dxa"/>
            <w:tcBorders>
              <w:left w:val="single" w:color="auto" w:sz="4" w:space="0"/>
              <w:right w:val="single" w:color="auto" w:sz="4" w:space="0"/>
            </w:tcBorders>
            <w:vAlign w:val="center"/>
          </w:tcPr>
          <w:p w14:paraId="4BD4A9F7">
            <w:pPr>
              <w:spacing w:before="120"/>
              <w:rPr>
                <w:rFonts w:hint="eastAsia" w:ascii="宋体"/>
                <w:sz w:val="24"/>
              </w:rPr>
            </w:pPr>
          </w:p>
        </w:tc>
        <w:tc>
          <w:tcPr>
            <w:tcW w:w="1688" w:type="dxa"/>
            <w:tcBorders>
              <w:left w:val="single" w:color="auto" w:sz="4" w:space="0"/>
              <w:right w:val="single" w:color="auto" w:sz="4" w:space="0"/>
            </w:tcBorders>
            <w:vAlign w:val="center"/>
          </w:tcPr>
          <w:p w14:paraId="0B1BBD8F">
            <w:pPr>
              <w:spacing w:before="120"/>
              <w:rPr>
                <w:rFonts w:hint="eastAsia" w:ascii="宋体"/>
                <w:sz w:val="24"/>
              </w:rPr>
            </w:pPr>
          </w:p>
        </w:tc>
        <w:tc>
          <w:tcPr>
            <w:tcW w:w="1688" w:type="dxa"/>
            <w:tcBorders>
              <w:left w:val="single" w:color="auto" w:sz="4" w:space="0"/>
              <w:right w:val="single" w:color="auto" w:sz="4" w:space="0"/>
            </w:tcBorders>
            <w:vAlign w:val="center"/>
          </w:tcPr>
          <w:p w14:paraId="6985A010">
            <w:pPr>
              <w:spacing w:before="120"/>
              <w:rPr>
                <w:rFonts w:hint="eastAsia" w:ascii="宋体"/>
                <w:sz w:val="24"/>
              </w:rPr>
            </w:pPr>
          </w:p>
        </w:tc>
      </w:tr>
      <w:tr w14:paraId="3B32176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4CD6CCDB">
            <w:pPr>
              <w:spacing w:before="120"/>
              <w:rPr>
                <w:rFonts w:hint="eastAsia" w:ascii="宋体"/>
                <w:sz w:val="24"/>
              </w:rPr>
            </w:pPr>
          </w:p>
        </w:tc>
        <w:tc>
          <w:tcPr>
            <w:tcW w:w="1688" w:type="dxa"/>
            <w:tcBorders>
              <w:left w:val="single" w:color="auto" w:sz="4" w:space="0"/>
              <w:right w:val="single" w:color="auto" w:sz="4" w:space="0"/>
            </w:tcBorders>
            <w:vAlign w:val="center"/>
          </w:tcPr>
          <w:p w14:paraId="678BAB07">
            <w:pPr>
              <w:spacing w:before="120"/>
              <w:rPr>
                <w:rFonts w:hint="eastAsia" w:ascii="宋体"/>
                <w:sz w:val="24"/>
              </w:rPr>
            </w:pPr>
          </w:p>
        </w:tc>
        <w:tc>
          <w:tcPr>
            <w:tcW w:w="1688" w:type="dxa"/>
            <w:tcBorders>
              <w:left w:val="single" w:color="auto" w:sz="4" w:space="0"/>
              <w:right w:val="single" w:color="auto" w:sz="4" w:space="0"/>
            </w:tcBorders>
            <w:vAlign w:val="center"/>
          </w:tcPr>
          <w:p w14:paraId="627219D5">
            <w:pPr>
              <w:spacing w:before="120"/>
              <w:rPr>
                <w:rFonts w:hint="eastAsia" w:ascii="宋体"/>
                <w:sz w:val="24"/>
              </w:rPr>
            </w:pPr>
          </w:p>
        </w:tc>
        <w:tc>
          <w:tcPr>
            <w:tcW w:w="1688" w:type="dxa"/>
            <w:tcBorders>
              <w:left w:val="single" w:color="auto" w:sz="4" w:space="0"/>
              <w:right w:val="single" w:color="auto" w:sz="4" w:space="0"/>
            </w:tcBorders>
            <w:vAlign w:val="center"/>
          </w:tcPr>
          <w:p w14:paraId="0A513179">
            <w:pPr>
              <w:spacing w:before="120"/>
              <w:rPr>
                <w:rFonts w:hint="eastAsia" w:ascii="宋体"/>
                <w:sz w:val="24"/>
              </w:rPr>
            </w:pPr>
          </w:p>
        </w:tc>
        <w:tc>
          <w:tcPr>
            <w:tcW w:w="1688" w:type="dxa"/>
            <w:tcBorders>
              <w:left w:val="single" w:color="auto" w:sz="4" w:space="0"/>
              <w:right w:val="single" w:color="auto" w:sz="4" w:space="0"/>
            </w:tcBorders>
            <w:vAlign w:val="center"/>
          </w:tcPr>
          <w:p w14:paraId="1B96FD1B">
            <w:pPr>
              <w:spacing w:before="120"/>
              <w:rPr>
                <w:rFonts w:hint="eastAsia" w:ascii="宋体"/>
                <w:sz w:val="24"/>
              </w:rPr>
            </w:pPr>
          </w:p>
        </w:tc>
      </w:tr>
      <w:tr w14:paraId="62ED7B7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1311DECF">
            <w:pPr>
              <w:spacing w:before="120"/>
              <w:rPr>
                <w:rFonts w:hint="eastAsia" w:ascii="宋体"/>
                <w:sz w:val="24"/>
              </w:rPr>
            </w:pPr>
          </w:p>
        </w:tc>
        <w:tc>
          <w:tcPr>
            <w:tcW w:w="1688" w:type="dxa"/>
            <w:tcBorders>
              <w:left w:val="single" w:color="auto" w:sz="4" w:space="0"/>
              <w:right w:val="single" w:color="auto" w:sz="4" w:space="0"/>
            </w:tcBorders>
            <w:vAlign w:val="center"/>
          </w:tcPr>
          <w:p w14:paraId="332ACEA1">
            <w:pPr>
              <w:spacing w:before="120"/>
              <w:rPr>
                <w:rFonts w:hint="eastAsia" w:ascii="宋体"/>
                <w:sz w:val="24"/>
              </w:rPr>
            </w:pPr>
          </w:p>
        </w:tc>
        <w:tc>
          <w:tcPr>
            <w:tcW w:w="1688" w:type="dxa"/>
            <w:tcBorders>
              <w:left w:val="single" w:color="auto" w:sz="4" w:space="0"/>
              <w:right w:val="single" w:color="auto" w:sz="4" w:space="0"/>
            </w:tcBorders>
            <w:vAlign w:val="center"/>
          </w:tcPr>
          <w:p w14:paraId="015557EE">
            <w:pPr>
              <w:spacing w:before="120"/>
              <w:rPr>
                <w:rFonts w:hint="eastAsia" w:ascii="宋体"/>
                <w:sz w:val="24"/>
              </w:rPr>
            </w:pPr>
          </w:p>
        </w:tc>
        <w:tc>
          <w:tcPr>
            <w:tcW w:w="1688" w:type="dxa"/>
            <w:tcBorders>
              <w:left w:val="single" w:color="auto" w:sz="4" w:space="0"/>
              <w:right w:val="single" w:color="auto" w:sz="4" w:space="0"/>
            </w:tcBorders>
            <w:vAlign w:val="center"/>
          </w:tcPr>
          <w:p w14:paraId="7C1F86EB">
            <w:pPr>
              <w:spacing w:before="120"/>
              <w:rPr>
                <w:rFonts w:hint="eastAsia" w:ascii="宋体"/>
                <w:sz w:val="24"/>
              </w:rPr>
            </w:pPr>
          </w:p>
        </w:tc>
        <w:tc>
          <w:tcPr>
            <w:tcW w:w="1688" w:type="dxa"/>
            <w:tcBorders>
              <w:left w:val="single" w:color="auto" w:sz="4" w:space="0"/>
              <w:right w:val="single" w:color="auto" w:sz="4" w:space="0"/>
            </w:tcBorders>
            <w:vAlign w:val="center"/>
          </w:tcPr>
          <w:p w14:paraId="5BF02C94">
            <w:pPr>
              <w:spacing w:before="120"/>
              <w:rPr>
                <w:rFonts w:hint="eastAsia" w:ascii="宋体"/>
                <w:sz w:val="24"/>
              </w:rPr>
            </w:pPr>
          </w:p>
        </w:tc>
      </w:tr>
      <w:tr w14:paraId="2E9E0DD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4604F743">
            <w:pPr>
              <w:spacing w:before="120"/>
              <w:rPr>
                <w:rFonts w:hint="eastAsia" w:ascii="宋体"/>
                <w:sz w:val="24"/>
              </w:rPr>
            </w:pPr>
          </w:p>
        </w:tc>
        <w:tc>
          <w:tcPr>
            <w:tcW w:w="1688" w:type="dxa"/>
            <w:tcBorders>
              <w:left w:val="single" w:color="auto" w:sz="4" w:space="0"/>
              <w:right w:val="single" w:color="auto" w:sz="4" w:space="0"/>
            </w:tcBorders>
            <w:vAlign w:val="center"/>
          </w:tcPr>
          <w:p w14:paraId="5E011788">
            <w:pPr>
              <w:spacing w:before="120"/>
              <w:rPr>
                <w:rFonts w:hint="eastAsia" w:ascii="宋体"/>
                <w:sz w:val="24"/>
              </w:rPr>
            </w:pPr>
          </w:p>
        </w:tc>
        <w:tc>
          <w:tcPr>
            <w:tcW w:w="1688" w:type="dxa"/>
            <w:tcBorders>
              <w:left w:val="single" w:color="auto" w:sz="4" w:space="0"/>
              <w:right w:val="single" w:color="auto" w:sz="4" w:space="0"/>
            </w:tcBorders>
            <w:vAlign w:val="center"/>
          </w:tcPr>
          <w:p w14:paraId="394CC5E2">
            <w:pPr>
              <w:spacing w:before="120"/>
              <w:rPr>
                <w:rFonts w:hint="eastAsia" w:ascii="宋体"/>
                <w:sz w:val="24"/>
              </w:rPr>
            </w:pPr>
          </w:p>
        </w:tc>
        <w:tc>
          <w:tcPr>
            <w:tcW w:w="1688" w:type="dxa"/>
            <w:tcBorders>
              <w:left w:val="single" w:color="auto" w:sz="4" w:space="0"/>
              <w:right w:val="single" w:color="auto" w:sz="4" w:space="0"/>
            </w:tcBorders>
            <w:vAlign w:val="center"/>
          </w:tcPr>
          <w:p w14:paraId="7A6C0DEE">
            <w:pPr>
              <w:spacing w:before="120"/>
              <w:rPr>
                <w:rFonts w:hint="eastAsia" w:ascii="宋体"/>
                <w:sz w:val="24"/>
              </w:rPr>
            </w:pPr>
          </w:p>
        </w:tc>
        <w:tc>
          <w:tcPr>
            <w:tcW w:w="1688" w:type="dxa"/>
            <w:tcBorders>
              <w:left w:val="single" w:color="auto" w:sz="4" w:space="0"/>
              <w:right w:val="single" w:color="auto" w:sz="4" w:space="0"/>
            </w:tcBorders>
            <w:vAlign w:val="center"/>
          </w:tcPr>
          <w:p w14:paraId="1315971B">
            <w:pPr>
              <w:spacing w:before="120"/>
              <w:rPr>
                <w:rFonts w:hint="eastAsia" w:ascii="宋体"/>
                <w:sz w:val="24"/>
              </w:rPr>
            </w:pPr>
          </w:p>
        </w:tc>
      </w:tr>
      <w:tr w14:paraId="7FBA462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71B17783">
            <w:pPr>
              <w:spacing w:before="120"/>
              <w:rPr>
                <w:rFonts w:hint="eastAsia" w:ascii="宋体"/>
                <w:sz w:val="24"/>
              </w:rPr>
            </w:pPr>
          </w:p>
        </w:tc>
        <w:tc>
          <w:tcPr>
            <w:tcW w:w="1688" w:type="dxa"/>
            <w:tcBorders>
              <w:left w:val="single" w:color="auto" w:sz="4" w:space="0"/>
              <w:right w:val="single" w:color="auto" w:sz="4" w:space="0"/>
            </w:tcBorders>
            <w:vAlign w:val="center"/>
          </w:tcPr>
          <w:p w14:paraId="5FE5AC53">
            <w:pPr>
              <w:spacing w:before="120"/>
              <w:rPr>
                <w:rFonts w:hint="eastAsia" w:ascii="宋体"/>
                <w:sz w:val="24"/>
              </w:rPr>
            </w:pPr>
          </w:p>
        </w:tc>
        <w:tc>
          <w:tcPr>
            <w:tcW w:w="1688" w:type="dxa"/>
            <w:tcBorders>
              <w:left w:val="single" w:color="auto" w:sz="4" w:space="0"/>
              <w:right w:val="single" w:color="auto" w:sz="4" w:space="0"/>
            </w:tcBorders>
            <w:vAlign w:val="center"/>
          </w:tcPr>
          <w:p w14:paraId="1E2AF413">
            <w:pPr>
              <w:spacing w:before="120"/>
              <w:rPr>
                <w:rFonts w:hint="eastAsia" w:ascii="宋体"/>
                <w:sz w:val="24"/>
              </w:rPr>
            </w:pPr>
          </w:p>
        </w:tc>
        <w:tc>
          <w:tcPr>
            <w:tcW w:w="1688" w:type="dxa"/>
            <w:tcBorders>
              <w:left w:val="single" w:color="auto" w:sz="4" w:space="0"/>
              <w:right w:val="single" w:color="auto" w:sz="4" w:space="0"/>
            </w:tcBorders>
            <w:vAlign w:val="center"/>
          </w:tcPr>
          <w:p w14:paraId="03D2A59C">
            <w:pPr>
              <w:spacing w:before="120"/>
              <w:rPr>
                <w:rFonts w:hint="eastAsia" w:ascii="宋体"/>
                <w:sz w:val="24"/>
              </w:rPr>
            </w:pPr>
          </w:p>
        </w:tc>
        <w:tc>
          <w:tcPr>
            <w:tcW w:w="1688" w:type="dxa"/>
            <w:tcBorders>
              <w:left w:val="single" w:color="auto" w:sz="4" w:space="0"/>
              <w:right w:val="single" w:color="auto" w:sz="4" w:space="0"/>
            </w:tcBorders>
            <w:vAlign w:val="center"/>
          </w:tcPr>
          <w:p w14:paraId="2DC3D3B7">
            <w:pPr>
              <w:spacing w:before="120"/>
              <w:rPr>
                <w:rFonts w:hint="eastAsia" w:ascii="宋体"/>
                <w:sz w:val="24"/>
              </w:rPr>
            </w:pPr>
          </w:p>
        </w:tc>
      </w:tr>
      <w:tr w14:paraId="742F44A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C3571E6">
            <w:pPr>
              <w:spacing w:before="120"/>
              <w:rPr>
                <w:rFonts w:hint="eastAsia" w:ascii="宋体"/>
                <w:sz w:val="24"/>
              </w:rPr>
            </w:pPr>
          </w:p>
        </w:tc>
        <w:tc>
          <w:tcPr>
            <w:tcW w:w="1688" w:type="dxa"/>
            <w:tcBorders>
              <w:left w:val="single" w:color="auto" w:sz="4" w:space="0"/>
              <w:bottom w:val="single" w:color="auto" w:sz="4" w:space="0"/>
              <w:right w:val="single" w:color="auto" w:sz="4" w:space="0"/>
            </w:tcBorders>
            <w:vAlign w:val="center"/>
          </w:tcPr>
          <w:p w14:paraId="7FC377EC">
            <w:pPr>
              <w:spacing w:before="120"/>
              <w:rPr>
                <w:rFonts w:hint="eastAsia" w:ascii="宋体"/>
                <w:sz w:val="24"/>
              </w:rPr>
            </w:pPr>
          </w:p>
        </w:tc>
        <w:tc>
          <w:tcPr>
            <w:tcW w:w="1688" w:type="dxa"/>
            <w:tcBorders>
              <w:left w:val="single" w:color="auto" w:sz="4" w:space="0"/>
              <w:bottom w:val="single" w:color="auto" w:sz="4" w:space="0"/>
              <w:right w:val="single" w:color="auto" w:sz="4" w:space="0"/>
            </w:tcBorders>
            <w:vAlign w:val="center"/>
          </w:tcPr>
          <w:p w14:paraId="5A817F4E">
            <w:pPr>
              <w:spacing w:before="120"/>
              <w:rPr>
                <w:rFonts w:hint="eastAsia" w:ascii="宋体"/>
                <w:sz w:val="24"/>
              </w:rPr>
            </w:pPr>
          </w:p>
        </w:tc>
        <w:tc>
          <w:tcPr>
            <w:tcW w:w="1688" w:type="dxa"/>
            <w:tcBorders>
              <w:left w:val="single" w:color="auto" w:sz="4" w:space="0"/>
              <w:bottom w:val="single" w:color="auto" w:sz="4" w:space="0"/>
              <w:right w:val="single" w:color="auto" w:sz="4" w:space="0"/>
            </w:tcBorders>
            <w:vAlign w:val="center"/>
          </w:tcPr>
          <w:p w14:paraId="4BE7B29D">
            <w:pPr>
              <w:spacing w:before="120"/>
              <w:rPr>
                <w:rFonts w:hint="eastAsia" w:ascii="宋体"/>
                <w:sz w:val="24"/>
              </w:rPr>
            </w:pPr>
          </w:p>
        </w:tc>
        <w:tc>
          <w:tcPr>
            <w:tcW w:w="1688" w:type="dxa"/>
            <w:tcBorders>
              <w:left w:val="single" w:color="auto" w:sz="4" w:space="0"/>
              <w:bottom w:val="single" w:color="auto" w:sz="4" w:space="0"/>
              <w:right w:val="single" w:color="auto" w:sz="4" w:space="0"/>
            </w:tcBorders>
            <w:vAlign w:val="center"/>
          </w:tcPr>
          <w:p w14:paraId="6F8A4AF4">
            <w:pPr>
              <w:spacing w:before="120"/>
              <w:rPr>
                <w:rFonts w:hint="eastAsia" w:ascii="宋体"/>
                <w:sz w:val="24"/>
              </w:rPr>
            </w:pPr>
          </w:p>
        </w:tc>
      </w:tr>
    </w:tbl>
    <w:p w14:paraId="3C3935E4">
      <w:pPr>
        <w:pStyle w:val="5"/>
        <w:rPr>
          <w:rFonts w:hint="eastAsia" w:ascii="宋体" w:eastAsia="宋体"/>
          <w:sz w:val="24"/>
        </w:rPr>
      </w:pPr>
      <w:r>
        <w:rPr>
          <w:rFonts w:hint="eastAsia" w:ascii="宋体" w:eastAsia="宋体"/>
          <w:sz w:val="24"/>
        </w:rPr>
        <w:t>注：投标人递交的投标文件中与招标文件的商务部分的要求有不同时，应逐条列在商务偏离表中，否则将认为投标人接受招标文件的要求。</w:t>
      </w:r>
      <w:r>
        <w:rPr>
          <w:rFonts w:ascii="宋体" w:eastAsia="宋体"/>
          <w:sz w:val="24"/>
        </w:rPr>
        <w:t xml:space="preserve"> </w:t>
      </w:r>
    </w:p>
    <w:p w14:paraId="194FC8E8">
      <w:pPr>
        <w:pStyle w:val="6"/>
        <w:rPr>
          <w:rFonts w:hint="eastAsia"/>
        </w:rPr>
      </w:pPr>
    </w:p>
    <w:p w14:paraId="53501021">
      <w:pPr>
        <w:pStyle w:val="6"/>
        <w:rPr>
          <w:rFonts w:hint="eastAsia"/>
        </w:rPr>
      </w:pPr>
    </w:p>
    <w:p w14:paraId="5935C95D">
      <w:r>
        <w:rPr>
          <w:rFonts w:hint="eastAsia" w:ascii="宋体"/>
          <w:sz w:val="24"/>
        </w:rPr>
        <w:t>投标人名称：</w:t>
      </w:r>
      <w:r>
        <w:rPr>
          <w:rFonts w:ascii="宋体"/>
          <w:sz w:val="24"/>
        </w:rPr>
        <w:t xml:space="preserve"> </w:t>
      </w:r>
      <w:r>
        <w:rPr>
          <w:sz w:val="24"/>
        </w:rPr>
        <w:t xml:space="preserve">_____________________ </w:t>
      </w:r>
    </w:p>
    <w:p w14:paraId="54BCDC58">
      <w:r>
        <w:rPr>
          <w:rFonts w:hint="eastAsia" w:ascii="宋体"/>
          <w:sz w:val="24"/>
        </w:rPr>
        <w:t>投标人代表签字盖章：</w:t>
      </w:r>
      <w:r>
        <w:rPr>
          <w:sz w:val="24"/>
        </w:rPr>
        <w:t xml:space="preserve">________________ </w:t>
      </w:r>
    </w:p>
    <w:p w14:paraId="12F7972F">
      <w:pPr>
        <w:spacing w:line="360" w:lineRule="auto"/>
        <w:rPr>
          <w:rFonts w:hint="eastAsia"/>
          <w:sz w:val="24"/>
        </w:rPr>
      </w:pPr>
    </w:p>
    <w:p w14:paraId="5A7628BA">
      <w:pPr>
        <w:overflowPunct w:val="0"/>
        <w:autoSpaceDE w:val="0"/>
        <w:autoSpaceDN w:val="0"/>
        <w:spacing w:before="240" w:after="160"/>
        <w:rPr>
          <w:rFonts w:hint="eastAsia" w:ascii="宋体" w:hAnsi="宋体"/>
          <w:sz w:val="28"/>
          <w:szCs w:val="28"/>
        </w:rPr>
      </w:pPr>
    </w:p>
    <w:sectPr>
      <w:headerReference r:id="rId3" w:type="first"/>
      <w:pgSz w:w="11906" w:h="16838"/>
      <w:pgMar w:top="964" w:right="1191"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B4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F62E0"/>
    <w:multiLevelType w:val="singleLevel"/>
    <w:tmpl w:val="566F62E0"/>
    <w:lvl w:ilvl="0" w:tentative="0">
      <w:start w:val="1"/>
      <w:numFmt w:val="chineseCounting"/>
      <w:suff w:val="nothing"/>
      <w:lvlText w:val="%1、"/>
      <w:lvlJc w:val="left"/>
    </w:lvl>
  </w:abstractNum>
  <w:abstractNum w:abstractNumId="1">
    <w:nsid w:val="566F8959"/>
    <w:multiLevelType w:val="singleLevel"/>
    <w:tmpl w:val="566F8959"/>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77F"/>
    <w:rsid w:val="00006AC9"/>
    <w:rsid w:val="00011007"/>
    <w:rsid w:val="00031921"/>
    <w:rsid w:val="00061EC5"/>
    <w:rsid w:val="00075DCA"/>
    <w:rsid w:val="00077D19"/>
    <w:rsid w:val="00094EDA"/>
    <w:rsid w:val="000956B9"/>
    <w:rsid w:val="00106FD3"/>
    <w:rsid w:val="00112D97"/>
    <w:rsid w:val="001164D7"/>
    <w:rsid w:val="0014761F"/>
    <w:rsid w:val="00185D7D"/>
    <w:rsid w:val="001A0848"/>
    <w:rsid w:val="001B66DC"/>
    <w:rsid w:val="001C2613"/>
    <w:rsid w:val="00236FB7"/>
    <w:rsid w:val="002559FD"/>
    <w:rsid w:val="0029623F"/>
    <w:rsid w:val="00296E02"/>
    <w:rsid w:val="002A1F38"/>
    <w:rsid w:val="002A2417"/>
    <w:rsid w:val="002A525B"/>
    <w:rsid w:val="002B4FFF"/>
    <w:rsid w:val="002D271E"/>
    <w:rsid w:val="0031433F"/>
    <w:rsid w:val="003328B6"/>
    <w:rsid w:val="003350C7"/>
    <w:rsid w:val="00355ED1"/>
    <w:rsid w:val="00392422"/>
    <w:rsid w:val="003B59EF"/>
    <w:rsid w:val="00407011"/>
    <w:rsid w:val="00433A26"/>
    <w:rsid w:val="004404B4"/>
    <w:rsid w:val="00446D73"/>
    <w:rsid w:val="00474A3B"/>
    <w:rsid w:val="004B7A29"/>
    <w:rsid w:val="004E5761"/>
    <w:rsid w:val="0053409B"/>
    <w:rsid w:val="00535EEA"/>
    <w:rsid w:val="00564780"/>
    <w:rsid w:val="0057448F"/>
    <w:rsid w:val="005E5CE7"/>
    <w:rsid w:val="005E6EEC"/>
    <w:rsid w:val="00636B2F"/>
    <w:rsid w:val="00641E30"/>
    <w:rsid w:val="00641E53"/>
    <w:rsid w:val="0065437B"/>
    <w:rsid w:val="00660759"/>
    <w:rsid w:val="006733E8"/>
    <w:rsid w:val="0069519B"/>
    <w:rsid w:val="006B3835"/>
    <w:rsid w:val="006D1F2D"/>
    <w:rsid w:val="006F3E80"/>
    <w:rsid w:val="007153A1"/>
    <w:rsid w:val="00732E38"/>
    <w:rsid w:val="0073770E"/>
    <w:rsid w:val="00741909"/>
    <w:rsid w:val="007554A0"/>
    <w:rsid w:val="007B0F15"/>
    <w:rsid w:val="007B2915"/>
    <w:rsid w:val="007B36A3"/>
    <w:rsid w:val="007B683A"/>
    <w:rsid w:val="007B7E73"/>
    <w:rsid w:val="007D3CC7"/>
    <w:rsid w:val="0083079F"/>
    <w:rsid w:val="00876851"/>
    <w:rsid w:val="0087755C"/>
    <w:rsid w:val="008A54B7"/>
    <w:rsid w:val="008B5E56"/>
    <w:rsid w:val="008C4526"/>
    <w:rsid w:val="008C4F3C"/>
    <w:rsid w:val="008C705C"/>
    <w:rsid w:val="008E6B3B"/>
    <w:rsid w:val="008E7A24"/>
    <w:rsid w:val="0090510E"/>
    <w:rsid w:val="0091177A"/>
    <w:rsid w:val="00931EA5"/>
    <w:rsid w:val="00955AF2"/>
    <w:rsid w:val="0096009C"/>
    <w:rsid w:val="009A1873"/>
    <w:rsid w:val="009D2395"/>
    <w:rsid w:val="009E01AE"/>
    <w:rsid w:val="009E236D"/>
    <w:rsid w:val="009E39FB"/>
    <w:rsid w:val="009F1C1B"/>
    <w:rsid w:val="00A12053"/>
    <w:rsid w:val="00A27276"/>
    <w:rsid w:val="00A50774"/>
    <w:rsid w:val="00A5182E"/>
    <w:rsid w:val="00A62845"/>
    <w:rsid w:val="00A73188"/>
    <w:rsid w:val="00A848A0"/>
    <w:rsid w:val="00A92D3A"/>
    <w:rsid w:val="00B00193"/>
    <w:rsid w:val="00B037A7"/>
    <w:rsid w:val="00B234A5"/>
    <w:rsid w:val="00B345D1"/>
    <w:rsid w:val="00B6592A"/>
    <w:rsid w:val="00B93189"/>
    <w:rsid w:val="00B96E6F"/>
    <w:rsid w:val="00BD39BB"/>
    <w:rsid w:val="00C1380B"/>
    <w:rsid w:val="00C179FE"/>
    <w:rsid w:val="00C55826"/>
    <w:rsid w:val="00C60944"/>
    <w:rsid w:val="00C67A77"/>
    <w:rsid w:val="00C717A8"/>
    <w:rsid w:val="00C806AD"/>
    <w:rsid w:val="00CD55EE"/>
    <w:rsid w:val="00CF5A8A"/>
    <w:rsid w:val="00D022F8"/>
    <w:rsid w:val="00D16F2E"/>
    <w:rsid w:val="00D7622E"/>
    <w:rsid w:val="00DC2610"/>
    <w:rsid w:val="00DD6B9B"/>
    <w:rsid w:val="00DF5555"/>
    <w:rsid w:val="00E1607E"/>
    <w:rsid w:val="00E6772F"/>
    <w:rsid w:val="00EB3102"/>
    <w:rsid w:val="00EC4BC8"/>
    <w:rsid w:val="00EF3C71"/>
    <w:rsid w:val="00F10087"/>
    <w:rsid w:val="00F14290"/>
    <w:rsid w:val="00F76369"/>
    <w:rsid w:val="00F81AEC"/>
    <w:rsid w:val="00F87A03"/>
    <w:rsid w:val="00FA6297"/>
    <w:rsid w:val="00FB469C"/>
    <w:rsid w:val="00FC3CC8"/>
    <w:rsid w:val="00FC69CC"/>
    <w:rsid w:val="00FF5EE3"/>
    <w:rsid w:val="072C52A6"/>
    <w:rsid w:val="0B7061D0"/>
    <w:rsid w:val="12160F3D"/>
    <w:rsid w:val="2CD825A0"/>
    <w:rsid w:val="2E1E4E36"/>
    <w:rsid w:val="37B91E4E"/>
    <w:rsid w:val="43F860E6"/>
    <w:rsid w:val="448C1D82"/>
    <w:rsid w:val="49FA026B"/>
    <w:rsid w:val="5C3F5168"/>
    <w:rsid w:val="5FF95ED7"/>
    <w:rsid w:val="64C31333"/>
    <w:rsid w:val="651B09EE"/>
    <w:rsid w:val="66763229"/>
    <w:rsid w:val="76716FB3"/>
    <w:rsid w:val="79351C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Cambria" w:hAnsi="Cambria"/>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6"/>
    <w:next w:val="6"/>
    <w:uiPriority w:val="0"/>
  </w:style>
  <w:style w:type="paragraph" w:customStyle="1" w:styleId="6">
    <w:name w:val="Defaul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Date"/>
    <w:basedOn w:val="1"/>
    <w:next w:val="1"/>
    <w:uiPriority w:val="0"/>
    <w:pPr>
      <w:ind w:left="100" w:leftChars="25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2285</Words>
  <Characters>2479</Characters>
  <Lines>21</Lines>
  <Paragraphs>6</Paragraphs>
  <TotalTime>1</TotalTime>
  <ScaleCrop>false</ScaleCrop>
  <LinksUpToDate>false</LinksUpToDate>
  <CharactersWithSpaces>2759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2018-07-26T01:40:00Z</dcterms:created>
  <dc:creator>微软用户</dc:creator>
  <cp:lastModifiedBy>houyz</cp:lastModifiedBy>
  <cp:lastPrinted>2010-07-15T02:21:00Z</cp:lastPrinted>
  <dcterms:modified xsi:type="dcterms:W3CDTF">2025-06-09T00:06:46Z</dcterms:modified>
  <dc:title>张家港联合铜业有限公司锅炉用煤（烟煤）采购项目招标公告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605C8DC656EB45FA944C0EE94BA83B91_12</vt:lpwstr>
  </property>
</Properties>
</file>