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D4CE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highlight w:val="none"/>
          <w:lang w:val="en-US" w:eastAsia="zh-CN"/>
        </w:rPr>
        <w:t>2026年</w:t>
      </w:r>
      <w:r>
        <w:rPr>
          <w:rFonts w:hint="eastAsia" w:ascii="黑体" w:hAnsi="黑体" w:eastAsia="黑体" w:cs="黑体"/>
          <w:b/>
          <w:bCs/>
          <w:sz w:val="32"/>
          <w:szCs w:val="32"/>
          <w:lang w:val="en-US" w:eastAsia="zh-CN"/>
        </w:rPr>
        <w:t>安全生产责任保险</w:t>
      </w:r>
      <w:r>
        <w:rPr>
          <w:rFonts w:hint="eastAsia" w:ascii="黑体" w:hAnsi="黑体" w:eastAsia="黑体" w:cs="黑体"/>
          <w:b/>
          <w:bCs/>
          <w:sz w:val="32"/>
          <w:szCs w:val="32"/>
          <w:highlight w:val="none"/>
          <w:lang w:val="en-US" w:eastAsia="zh-CN"/>
        </w:rPr>
        <w:t>投保</w:t>
      </w:r>
      <w:r>
        <w:rPr>
          <w:rFonts w:hint="eastAsia" w:ascii="黑体" w:hAnsi="黑体" w:eastAsia="黑体" w:cs="黑体"/>
          <w:b/>
          <w:bCs/>
          <w:sz w:val="32"/>
          <w:szCs w:val="32"/>
        </w:rPr>
        <w:t>竞价</w:t>
      </w:r>
      <w:r>
        <w:rPr>
          <w:rFonts w:hint="eastAsia" w:ascii="黑体" w:hAnsi="黑体" w:eastAsia="黑体" w:cs="黑体"/>
          <w:b/>
          <w:bCs/>
          <w:sz w:val="32"/>
          <w:szCs w:val="32"/>
          <w:lang w:val="en-US" w:eastAsia="zh-CN"/>
        </w:rPr>
        <w:t>公告</w:t>
      </w:r>
    </w:p>
    <w:p w14:paraId="6B47388A">
      <w:pPr>
        <w:pStyle w:val="2"/>
        <w:jc w:val="center"/>
        <w:rPr>
          <w:rFonts w:hint="default"/>
          <w:sz w:val="28"/>
          <w:szCs w:val="28"/>
          <w:lang w:val="en-US" w:eastAsia="zh-CN"/>
        </w:rPr>
      </w:pPr>
      <w:r>
        <w:rPr>
          <w:rFonts w:hint="eastAsia" w:ascii="黑体" w:hAnsi="黑体" w:eastAsia="黑体" w:cs="黑体"/>
          <w:b/>
          <w:bCs/>
          <w:sz w:val="28"/>
          <w:szCs w:val="28"/>
          <w:lang w:val="en-US" w:eastAsia="zh-CN"/>
        </w:rPr>
        <w:t>二次挂网</w:t>
      </w:r>
    </w:p>
    <w:p w14:paraId="28E88FB3">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竞价</w:t>
      </w:r>
      <w:r>
        <w:rPr>
          <w:rFonts w:hint="eastAsia" w:ascii="宋体" w:hAnsi="宋体" w:eastAsia="宋体" w:cs="Times New Roman"/>
          <w:sz w:val="24"/>
          <w:szCs w:val="24"/>
          <w:highlight w:val="none"/>
        </w:rPr>
        <w:t>时间：</w:t>
      </w:r>
      <w:r>
        <w:rPr>
          <w:rFonts w:hint="eastAsia" w:ascii="宋体" w:hAnsi="宋体" w:eastAsia="宋体" w:cs="Times New Roman"/>
          <w:sz w:val="24"/>
          <w:szCs w:val="24"/>
          <w:highlight w:val="none"/>
          <w:lang w:val="en-US" w:eastAsia="zh-CN"/>
        </w:rPr>
        <w:t xml:space="preserve"> 2026年3月27日</w:t>
      </w:r>
    </w:p>
    <w:p w14:paraId="56892224">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竞价</w:t>
      </w:r>
      <w:r>
        <w:rPr>
          <w:rFonts w:hint="eastAsia" w:ascii="宋体" w:hAnsi="宋体" w:eastAsia="宋体" w:cs="Times New Roman"/>
          <w:sz w:val="24"/>
          <w:szCs w:val="24"/>
          <w:highlight w:val="none"/>
        </w:rPr>
        <w:t>编号：LHTY20260313-01</w:t>
      </w:r>
    </w:p>
    <w:p w14:paraId="5A8AC8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4"/>
          <w:szCs w:val="24"/>
        </w:rPr>
      </w:pPr>
      <w:r>
        <w:rPr>
          <w:rFonts w:hint="eastAsia" w:ascii="宋体" w:hAnsi="宋体" w:eastAsia="宋体" w:cs="Times New Roman"/>
          <w:sz w:val="24"/>
          <w:szCs w:val="24"/>
        </w:rPr>
        <w:t>招标人：张家港联合铜业有限公司</w:t>
      </w:r>
    </w:p>
    <w:p w14:paraId="690629A2">
      <w:pPr>
        <w:numPr>
          <w:ilvl w:val="0"/>
          <w:numId w:val="0"/>
        </w:numPr>
        <w:spacing w:line="440" w:lineRule="exact"/>
        <w:rPr>
          <w:rFonts w:hint="eastAsia"/>
          <w:b/>
          <w:bCs/>
          <w:sz w:val="28"/>
          <w:szCs w:val="32"/>
          <w:lang w:val="en-US" w:eastAsia="zh-CN"/>
        </w:rPr>
      </w:pPr>
      <w:r>
        <w:rPr>
          <w:rFonts w:hint="eastAsia"/>
          <w:b/>
          <w:bCs/>
          <w:sz w:val="28"/>
          <w:szCs w:val="32"/>
          <w:lang w:val="en-US" w:eastAsia="zh-CN"/>
        </w:rPr>
        <w:t>一、竞价依据</w:t>
      </w:r>
    </w:p>
    <w:p w14:paraId="22023878">
      <w:pPr>
        <w:keepNext w:val="0"/>
        <w:keepLines w:val="0"/>
        <w:pageBreakBefore w:val="0"/>
        <w:widowControl w:val="0"/>
        <w:kinsoku/>
        <w:wordWrap/>
        <w:topLinePunct w:val="0"/>
        <w:bidi w:val="0"/>
        <w:spacing w:line="440" w:lineRule="exact"/>
        <w:ind w:firstLine="480" w:firstLineChars="200"/>
        <w:textAlignment w:val="auto"/>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2025年公司安全生产责任保险即将到期</w:t>
      </w:r>
    </w:p>
    <w:p w14:paraId="0E3747D1">
      <w:pPr>
        <w:pStyle w:val="12"/>
        <w:ind w:left="0" w:leftChars="0" w:firstLine="0" w:firstLineChars="0"/>
        <w:rPr>
          <w:rFonts w:hint="eastAsia" w:ascii="宋体" w:hAnsi="宋体" w:eastAsia="宋体"/>
          <w:b/>
          <w:bCs/>
          <w:sz w:val="24"/>
          <w:szCs w:val="24"/>
        </w:rPr>
      </w:pPr>
      <w:r>
        <w:rPr>
          <w:rFonts w:hint="eastAsia"/>
          <w:b/>
          <w:bCs/>
          <w:lang w:val="en-US" w:eastAsia="zh-CN"/>
        </w:rPr>
        <w:t>二 、</w:t>
      </w:r>
      <w:r>
        <w:rPr>
          <w:rFonts w:hint="eastAsia"/>
          <w:b/>
          <w:bCs/>
          <w:sz w:val="28"/>
          <w:szCs w:val="24"/>
          <w:lang w:val="en-US" w:eastAsia="zh-CN"/>
        </w:rPr>
        <w:t>竞价</w:t>
      </w:r>
      <w:r>
        <w:rPr>
          <w:rFonts w:hint="eastAsia" w:ascii="宋体" w:hAnsi="宋体" w:eastAsia="宋体"/>
          <w:b/>
          <w:bCs/>
          <w:sz w:val="24"/>
          <w:szCs w:val="24"/>
        </w:rPr>
        <w:t>主要内容和要求</w:t>
      </w:r>
    </w:p>
    <w:p w14:paraId="6654BD50">
      <w:pPr>
        <w:keepNext w:val="0"/>
        <w:keepLines w:val="0"/>
        <w:pageBreakBefore w:val="0"/>
        <w:widowControl w:val="0"/>
        <w:kinsoku/>
        <w:wordWrap/>
        <w:topLinePunct w:val="0"/>
        <w:bidi w:val="0"/>
        <w:spacing w:line="440" w:lineRule="exact"/>
        <w:ind w:firstLine="480" w:firstLineChars="200"/>
        <w:textAlignment w:val="auto"/>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 xml:space="preserve">根据苏州市应急管理局、中国银保监会苏州监管分局文件（苏应急[2021]363 号），在苏州行政区域内的重点高危领域或企业（金属冶炼、危险化学品等）应当投保安全生产责任险，保险险种、保障内容、 第三方服务等均要满足文件相关规定，承保的保险机构应具有相应的专业资质和承保服务能力，且投保后由承保公司按照要求把保单信息等录入苏州市安全生产责任保险信息管理系统备查。 </w:t>
      </w:r>
    </w:p>
    <w:p w14:paraId="68C49246">
      <w:pPr>
        <w:pStyle w:val="13"/>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40" w:lineRule="exact"/>
        <w:ind w:leftChars="0"/>
        <w:textAlignment w:val="auto"/>
        <w:rPr>
          <w:rFonts w:hint="default" w:ascii="宋体" w:hAnsi="宋体" w:eastAsiaTheme="minorEastAsia" w:cstheme="minorBidi"/>
          <w:b/>
          <w:bCs/>
          <w:kern w:val="2"/>
          <w:sz w:val="28"/>
          <w:szCs w:val="24"/>
          <w:lang w:val="en-US" w:eastAsia="zh-CN" w:bidi="ar-SA"/>
        </w:rPr>
      </w:pPr>
      <w:r>
        <w:rPr>
          <w:rFonts w:hint="eastAsia" w:ascii="宋体" w:hAnsi="宋体" w:eastAsiaTheme="minorEastAsia" w:cstheme="minorBidi"/>
          <w:b/>
          <w:bCs/>
          <w:kern w:val="2"/>
          <w:sz w:val="28"/>
          <w:szCs w:val="24"/>
          <w:lang w:val="en-US" w:eastAsia="zh-CN" w:bidi="ar-SA"/>
        </w:rPr>
        <w:t>三、竞价</w:t>
      </w:r>
      <w:r>
        <w:rPr>
          <w:rFonts w:hint="eastAsia" w:ascii="宋体" w:hAnsi="宋体" w:cstheme="minorBidi"/>
          <w:b/>
          <w:bCs/>
          <w:kern w:val="2"/>
          <w:sz w:val="28"/>
          <w:szCs w:val="24"/>
          <w:lang w:val="en-US" w:eastAsia="zh-CN" w:bidi="ar-SA"/>
        </w:rPr>
        <w:t>方式</w:t>
      </w:r>
    </w:p>
    <w:p w14:paraId="735CEF8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jc w:val="left"/>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公开竞价</w:t>
      </w:r>
    </w:p>
    <w:p w14:paraId="2C2A9EB2">
      <w:pPr>
        <w:spacing w:line="360" w:lineRule="auto"/>
        <w:rPr>
          <w:rFonts w:hint="default" w:ascii="宋体" w:hAnsi="宋体" w:eastAsia="宋体"/>
          <w:b/>
          <w:sz w:val="24"/>
          <w:szCs w:val="24"/>
          <w:lang w:val="en-US" w:eastAsia="zh-CN"/>
        </w:rPr>
      </w:pPr>
      <w:r>
        <w:rPr>
          <w:rFonts w:hint="eastAsia" w:ascii="宋体" w:hAnsi="宋体" w:eastAsiaTheme="minorEastAsia" w:cstheme="minorBidi"/>
          <w:b/>
          <w:bCs/>
          <w:kern w:val="2"/>
          <w:sz w:val="28"/>
          <w:szCs w:val="24"/>
          <w:lang w:val="en-US" w:eastAsia="zh-CN" w:bidi="ar-SA"/>
        </w:rPr>
        <w:t>四、投标响应文件</w:t>
      </w:r>
    </w:p>
    <w:p w14:paraId="0ABE2D0E">
      <w:pPr>
        <w:keepNext w:val="0"/>
        <w:keepLines w:val="0"/>
        <w:pageBreakBefore w:val="0"/>
        <w:widowControl w:val="0"/>
        <w:kinsoku/>
        <w:wordWrap/>
        <w:topLinePunct w:val="0"/>
        <w:bidi w:val="0"/>
        <w:spacing w:line="440" w:lineRule="exact"/>
        <w:textAlignment w:val="auto"/>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1、安责险报价单且落款处加盖</w:t>
      </w:r>
      <w:r>
        <w:rPr>
          <w:rFonts w:hint="eastAsia" w:ascii="宋体" w:hAnsi="宋体" w:eastAsia="宋体" w:cstheme="minorBidi"/>
          <w:kern w:val="2"/>
          <w:sz w:val="24"/>
          <w:szCs w:val="24"/>
          <w:lang w:val="zh-CN" w:eastAsia="zh-CN" w:bidi="ar-SA"/>
        </w:rPr>
        <w:t>投标人</w:t>
      </w:r>
      <w:r>
        <w:rPr>
          <w:rFonts w:hint="eastAsia" w:ascii="宋体" w:hAnsi="宋体" w:eastAsia="宋体" w:cstheme="minorBidi"/>
          <w:kern w:val="2"/>
          <w:sz w:val="24"/>
          <w:szCs w:val="24"/>
          <w:lang w:val="en-US" w:eastAsia="zh-CN" w:bidi="ar-SA"/>
        </w:rPr>
        <w:t>公司</w:t>
      </w:r>
      <w:r>
        <w:rPr>
          <w:rFonts w:hint="eastAsia" w:ascii="宋体" w:hAnsi="宋体" w:eastAsia="宋体" w:cstheme="minorBidi"/>
          <w:kern w:val="2"/>
          <w:sz w:val="24"/>
          <w:szCs w:val="24"/>
          <w:lang w:val="zh-CN" w:eastAsia="zh-CN" w:bidi="ar-SA"/>
        </w:rPr>
        <w:t>公章。</w:t>
      </w:r>
    </w:p>
    <w:p w14:paraId="5351F94C">
      <w:pPr>
        <w:keepNext w:val="0"/>
        <w:keepLines w:val="0"/>
        <w:pageBreakBefore w:val="0"/>
        <w:widowControl w:val="0"/>
        <w:kinsoku/>
        <w:wordWrap/>
        <w:topLinePunct w:val="0"/>
        <w:bidi w:val="0"/>
        <w:spacing w:line="440" w:lineRule="exact"/>
        <w:jc w:val="left"/>
        <w:textAlignment w:val="auto"/>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2、投标方营业执照副本复印件1份，加盖公章。</w:t>
      </w:r>
    </w:p>
    <w:p w14:paraId="5AE8B675">
      <w:pPr>
        <w:pStyle w:val="5"/>
        <w:keepNext w:val="0"/>
        <w:keepLines w:val="0"/>
        <w:pageBreakBefore w:val="0"/>
        <w:widowControl w:val="0"/>
        <w:tabs>
          <w:tab w:val="left" w:pos="0"/>
        </w:tabs>
        <w:kinsoku/>
        <w:wordWrap/>
        <w:overflowPunct w:val="0"/>
        <w:topLinePunct w:val="0"/>
        <w:bidi w:val="0"/>
        <w:adjustRightInd/>
        <w:spacing w:line="440" w:lineRule="exact"/>
        <w:ind w:left="0" w:leftChars="0" w:firstLine="0" w:firstLineChars="0"/>
        <w:textAlignment w:val="auto"/>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3、安全生产相关服务项目。</w:t>
      </w:r>
    </w:p>
    <w:p w14:paraId="3795304E">
      <w:pPr>
        <w:pStyle w:val="13"/>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rPr>
          <w:rFonts w:hint="eastAsia" w:ascii="宋体" w:hAnsi="宋体" w:eastAsiaTheme="minorEastAsia" w:cstheme="minorBidi"/>
          <w:b/>
          <w:bCs/>
          <w:kern w:val="2"/>
          <w:sz w:val="28"/>
          <w:szCs w:val="24"/>
          <w:lang w:val="en-US" w:eastAsia="zh-CN" w:bidi="ar-SA"/>
        </w:rPr>
      </w:pPr>
      <w:r>
        <w:rPr>
          <w:rFonts w:hint="eastAsia" w:ascii="宋体" w:hAnsi="宋体" w:cstheme="minorBidi"/>
          <w:b/>
          <w:bCs/>
          <w:kern w:val="2"/>
          <w:sz w:val="28"/>
          <w:szCs w:val="24"/>
          <w:lang w:val="en-US" w:eastAsia="zh-CN" w:bidi="ar-SA"/>
        </w:rPr>
        <w:t>五</w:t>
      </w:r>
      <w:r>
        <w:rPr>
          <w:rFonts w:hint="eastAsia" w:ascii="宋体" w:hAnsi="宋体" w:eastAsiaTheme="minorEastAsia" w:cstheme="minorBidi"/>
          <w:b/>
          <w:bCs/>
          <w:kern w:val="2"/>
          <w:sz w:val="28"/>
          <w:szCs w:val="24"/>
          <w:lang w:val="en-US" w:eastAsia="zh-CN" w:bidi="ar-SA"/>
        </w:rPr>
        <w:t>、报价方式</w:t>
      </w:r>
    </w:p>
    <w:p w14:paraId="0D38A4DB">
      <w:pPr>
        <w:pStyle w:val="13"/>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报价含税，报价单中备注税率。</w:t>
      </w:r>
    </w:p>
    <w:p w14:paraId="2DFEEC15">
      <w:pPr>
        <w:pStyle w:val="12"/>
        <w:keepNext w:val="0"/>
        <w:keepLines w:val="0"/>
        <w:pageBreakBefore w:val="0"/>
        <w:widowControl w:val="0"/>
        <w:kinsoku/>
        <w:wordWrap/>
        <w:overflowPunct/>
        <w:topLinePunct w:val="0"/>
        <w:autoSpaceDE/>
        <w:autoSpaceDN/>
        <w:bidi w:val="0"/>
        <w:adjustRightInd/>
        <w:snapToGrid/>
        <w:spacing w:before="157" w:beforeLines="50" w:after="157" w:afterLines="50"/>
        <w:ind w:left="0" w:leftChars="0" w:firstLine="0" w:firstLineChars="0"/>
        <w:textAlignment w:val="auto"/>
        <w:rPr>
          <w:rFonts w:hint="eastAsia" w:ascii="宋体" w:hAnsi="宋体" w:eastAsiaTheme="minorEastAsia" w:cstheme="minorBidi"/>
          <w:b/>
          <w:bCs/>
          <w:kern w:val="2"/>
          <w:sz w:val="28"/>
          <w:szCs w:val="24"/>
          <w:lang w:val="en-US" w:eastAsia="zh-CN" w:bidi="ar-SA"/>
        </w:rPr>
      </w:pPr>
      <w:r>
        <w:rPr>
          <w:rFonts w:hint="eastAsia" w:cstheme="minorBidi"/>
          <w:b/>
          <w:bCs/>
          <w:kern w:val="2"/>
          <w:sz w:val="28"/>
          <w:szCs w:val="24"/>
          <w:lang w:val="en-US" w:eastAsia="zh-CN" w:bidi="ar-SA"/>
        </w:rPr>
        <w:t>六、</w:t>
      </w:r>
      <w:r>
        <w:rPr>
          <w:rFonts w:hint="eastAsia" w:ascii="宋体" w:hAnsi="宋体" w:eastAsiaTheme="minorEastAsia" w:cstheme="minorBidi"/>
          <w:b/>
          <w:bCs/>
          <w:kern w:val="2"/>
          <w:sz w:val="28"/>
          <w:szCs w:val="24"/>
          <w:lang w:val="en-US" w:eastAsia="zh-CN" w:bidi="ar-SA"/>
        </w:rPr>
        <w:t>中标方式</w:t>
      </w:r>
    </w:p>
    <w:p w14:paraId="5C730CE9">
      <w:pPr>
        <w:pStyle w:val="12"/>
        <w:ind w:left="0" w:leftChars="0" w:firstLine="0" w:firstLineChars="0"/>
        <w:rPr>
          <w:rFonts w:hint="default"/>
          <w:highlight w:val="none"/>
          <w:lang w:val="en-US" w:eastAsia="zh-CN"/>
        </w:rPr>
      </w:pPr>
      <w:r>
        <w:rPr>
          <w:rFonts w:hint="eastAsia"/>
          <w:highlight w:val="none"/>
          <w:lang w:val="en-US" w:eastAsia="zh-CN"/>
        </w:rPr>
        <w:t xml:space="preserve"> </w:t>
      </w:r>
      <w:r>
        <w:rPr>
          <w:rFonts w:hint="eastAsia" w:ascii="宋体" w:hAnsi="宋体" w:eastAsia="宋体" w:cstheme="minorBidi"/>
          <w:kern w:val="2"/>
          <w:sz w:val="24"/>
          <w:szCs w:val="24"/>
          <w:highlight w:val="none"/>
          <w:lang w:val="en-US" w:eastAsia="zh-CN" w:bidi="ar-SA"/>
        </w:rPr>
        <w:t xml:space="preserve"> </w:t>
      </w:r>
      <w:r>
        <w:rPr>
          <w:rFonts w:hint="eastAsia" w:eastAsia="宋体" w:cstheme="minorBidi"/>
          <w:kern w:val="2"/>
          <w:sz w:val="24"/>
          <w:szCs w:val="24"/>
          <w:highlight w:val="none"/>
          <w:lang w:val="en-US" w:eastAsia="zh-CN" w:bidi="ar-SA"/>
        </w:rPr>
        <w:t xml:space="preserve"> </w:t>
      </w:r>
      <w:r>
        <w:rPr>
          <w:rFonts w:hint="eastAsia" w:ascii="宋体" w:hAnsi="宋体" w:eastAsia="宋体" w:cstheme="minorBidi"/>
          <w:kern w:val="2"/>
          <w:sz w:val="24"/>
          <w:szCs w:val="24"/>
          <w:highlight w:val="none"/>
          <w:lang w:val="en-US" w:eastAsia="zh-CN" w:bidi="ar-SA"/>
        </w:rPr>
        <w:t xml:space="preserve"> 综合评标法</w:t>
      </w:r>
      <w:r>
        <w:rPr>
          <w:rFonts w:hint="eastAsia" w:eastAsia="宋体" w:cstheme="minorBidi"/>
          <w:kern w:val="2"/>
          <w:sz w:val="24"/>
          <w:szCs w:val="24"/>
          <w:highlight w:val="none"/>
          <w:lang w:val="en-US" w:eastAsia="zh-CN" w:bidi="ar-SA"/>
        </w:rPr>
        <w:t>，得分最高投标方为中标方。</w:t>
      </w:r>
    </w:p>
    <w:p w14:paraId="1C68F804">
      <w:pPr>
        <w:pStyle w:val="16"/>
        <w:ind w:left="0" w:leftChars="0"/>
        <w:rPr>
          <w:rFonts w:hint="eastAsia" w:eastAsia="宋体" w:cs="宋体"/>
          <w:b/>
          <w:bCs/>
          <w:color w:val="auto"/>
          <w:szCs w:val="24"/>
        </w:rPr>
      </w:pPr>
    </w:p>
    <w:p w14:paraId="22C8A6C8">
      <w:pPr>
        <w:pStyle w:val="16"/>
        <w:ind w:left="0" w:leftChars="0" w:firstLine="482" w:firstLineChars="200"/>
        <w:jc w:val="center"/>
        <w:rPr>
          <w:rFonts w:hint="eastAsia" w:ascii="宋体" w:hAnsi="宋体" w:eastAsia="宋体" w:cs="宋体"/>
          <w:b/>
          <w:bCs/>
          <w:color w:val="auto"/>
          <w:sz w:val="24"/>
          <w:szCs w:val="24"/>
        </w:rPr>
      </w:pPr>
    </w:p>
    <w:p w14:paraId="5763C36C">
      <w:pPr>
        <w:pStyle w:val="16"/>
        <w:ind w:left="0" w:leftChars="0" w:firstLine="482" w:firstLineChars="200"/>
        <w:jc w:val="center"/>
        <w:rPr>
          <w:rFonts w:hint="eastAsia" w:ascii="宋体" w:hAnsi="宋体" w:eastAsia="宋体" w:cs="宋体"/>
          <w:b/>
          <w:bCs/>
          <w:color w:val="auto"/>
          <w:sz w:val="24"/>
          <w:szCs w:val="24"/>
        </w:rPr>
      </w:pPr>
    </w:p>
    <w:p w14:paraId="5EC731D5">
      <w:pPr>
        <w:pStyle w:val="16"/>
        <w:ind w:left="0" w:leftChars="0" w:firstLine="482" w:firstLineChars="200"/>
        <w:jc w:val="center"/>
        <w:rPr>
          <w:rFonts w:hint="eastAsia" w:ascii="宋体" w:hAnsi="宋体" w:eastAsia="宋体" w:cs="宋体"/>
          <w:b/>
          <w:bCs/>
          <w:color w:val="auto"/>
          <w:sz w:val="24"/>
          <w:szCs w:val="24"/>
        </w:rPr>
      </w:pPr>
    </w:p>
    <w:p w14:paraId="28C71EA7">
      <w:pPr>
        <w:pStyle w:val="16"/>
        <w:ind w:left="0" w:leftChars="0" w:firstLine="482" w:firstLineChars="200"/>
        <w:jc w:val="center"/>
        <w:rPr>
          <w:rFonts w:hint="eastAsia" w:ascii="宋体" w:hAnsi="宋体" w:eastAsia="宋体" w:cs="宋体"/>
          <w:b/>
          <w:bCs/>
          <w:color w:val="auto"/>
          <w:sz w:val="24"/>
          <w:szCs w:val="24"/>
        </w:rPr>
      </w:pPr>
    </w:p>
    <w:p w14:paraId="369D96A9">
      <w:pPr>
        <w:pStyle w:val="12"/>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ascii="宋体" w:hAnsi="宋体" w:eastAsiaTheme="minorEastAsia" w:cstheme="minorBidi"/>
          <w:b/>
          <w:bCs/>
          <w:kern w:val="2"/>
          <w:sz w:val="28"/>
          <w:szCs w:val="24"/>
          <w:lang w:val="en-US" w:eastAsia="zh-CN" w:bidi="ar-SA"/>
        </w:rPr>
      </w:pPr>
      <w:r>
        <w:rPr>
          <w:rFonts w:hint="eastAsia" w:ascii="宋体" w:hAnsi="宋体" w:eastAsiaTheme="minorEastAsia" w:cstheme="minorBidi"/>
          <w:b/>
          <w:bCs/>
          <w:kern w:val="2"/>
          <w:sz w:val="28"/>
          <w:szCs w:val="24"/>
          <w:lang w:val="en-US" w:eastAsia="zh-CN" w:bidi="ar-SA"/>
        </w:rPr>
        <w:t>付款方式</w:t>
      </w:r>
    </w:p>
    <w:p w14:paraId="4C30261B">
      <w:pPr>
        <w:pStyle w:val="12"/>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ascii="宋体" w:hAnsi="宋体" w:eastAsiaTheme="minorEastAsia" w:cstheme="minorBidi"/>
          <w:b/>
          <w:bCs/>
          <w:kern w:val="2"/>
          <w:sz w:val="28"/>
          <w:szCs w:val="24"/>
          <w:lang w:val="en-US" w:eastAsia="zh-CN" w:bidi="ar-SA"/>
        </w:rPr>
      </w:pPr>
      <w:r>
        <w:rPr>
          <w:rFonts w:hint="eastAsia" w:cstheme="minorBidi"/>
          <w:b/>
          <w:bCs/>
          <w:kern w:val="2"/>
          <w:sz w:val="28"/>
          <w:szCs w:val="24"/>
          <w:lang w:val="en-US" w:eastAsia="zh-CN" w:bidi="ar-SA"/>
        </w:rPr>
        <w:t xml:space="preserve"> </w:t>
      </w:r>
      <w:r>
        <w:rPr>
          <w:rFonts w:hint="eastAsia" w:cstheme="minorBidi"/>
          <w:b/>
          <w:bCs/>
          <w:kern w:val="2"/>
          <w:sz w:val="28"/>
          <w:szCs w:val="24"/>
          <w:highlight w:val="none"/>
          <w:lang w:val="en-US" w:eastAsia="zh-CN" w:bidi="ar-SA"/>
        </w:rPr>
        <w:t xml:space="preserve">  </w:t>
      </w:r>
      <w:r>
        <w:rPr>
          <w:rFonts w:hint="eastAsia" w:cstheme="minorBidi"/>
          <w:b w:val="0"/>
          <w:bCs w:val="0"/>
          <w:kern w:val="2"/>
          <w:sz w:val="28"/>
          <w:szCs w:val="24"/>
          <w:highlight w:val="none"/>
          <w:lang w:val="en-US" w:eastAsia="zh-CN" w:bidi="ar-SA"/>
        </w:rPr>
        <w:t>合同签订后支付保费全款</w:t>
      </w:r>
    </w:p>
    <w:p w14:paraId="131C6CEF">
      <w:pPr>
        <w:shd w:val="clear" w:color="auto" w:fill="FFFFFF"/>
        <w:spacing w:line="400" w:lineRule="atLeast"/>
        <w:jc w:val="left"/>
        <w:rPr>
          <w:rFonts w:ascii="宋体" w:hAnsi="宋体"/>
          <w:b/>
          <w:bCs/>
          <w:sz w:val="28"/>
          <w:szCs w:val="28"/>
        </w:rPr>
      </w:pPr>
      <w:r>
        <w:rPr>
          <w:rFonts w:hint="eastAsia"/>
          <w:lang w:val="en-US" w:eastAsia="zh-CN"/>
        </w:rPr>
        <w:t xml:space="preserve"> </w:t>
      </w:r>
      <w:r>
        <w:rPr>
          <w:rFonts w:hint="eastAsia" w:ascii="宋体" w:hAnsi="宋体"/>
          <w:b/>
          <w:bCs/>
          <w:sz w:val="28"/>
          <w:szCs w:val="28"/>
          <w:lang w:val="en-US" w:eastAsia="zh-CN"/>
        </w:rPr>
        <w:t>八</w:t>
      </w:r>
      <w:r>
        <w:rPr>
          <w:rFonts w:hint="eastAsia" w:ascii="宋体" w:hAnsi="宋体"/>
          <w:b/>
          <w:bCs/>
          <w:sz w:val="28"/>
          <w:szCs w:val="28"/>
        </w:rPr>
        <w:t>、报价截止时间</w:t>
      </w:r>
    </w:p>
    <w:p w14:paraId="2CEC1EB5">
      <w:pPr>
        <w:pStyle w:val="13"/>
        <w:spacing w:line="360" w:lineRule="auto"/>
        <w:ind w:firstLine="480" w:firstLineChars="200"/>
        <w:rPr>
          <w:rFonts w:hint="eastAsia" w:ascii="宋体" w:hAnsi="宋体" w:eastAsia="宋体"/>
          <w:sz w:val="24"/>
          <w:szCs w:val="24"/>
        </w:rPr>
      </w:pPr>
      <w:r>
        <w:rPr>
          <w:rFonts w:hint="eastAsia" w:ascii="宋体" w:hAnsi="宋体" w:eastAsia="宋体"/>
          <w:sz w:val="24"/>
          <w:szCs w:val="24"/>
          <w:lang w:val="en-US" w:eastAsia="zh-CN"/>
        </w:rPr>
        <w:t xml:space="preserve">2026 </w:t>
      </w:r>
      <w:r>
        <w:rPr>
          <w:rFonts w:hint="eastAsia" w:ascii="宋体" w:hAnsi="宋体" w:eastAsia="宋体"/>
          <w:sz w:val="24"/>
          <w:szCs w:val="24"/>
        </w:rPr>
        <w:t>年</w:t>
      </w:r>
      <w:r>
        <w:rPr>
          <w:rFonts w:hint="eastAsia" w:ascii="宋体" w:hAnsi="宋体" w:eastAsia="宋体"/>
          <w:sz w:val="24"/>
          <w:szCs w:val="24"/>
          <w:lang w:val="en-US" w:eastAsia="zh-CN"/>
        </w:rPr>
        <w:t xml:space="preserve"> 4</w:t>
      </w:r>
      <w:r>
        <w:rPr>
          <w:rFonts w:hint="eastAsia" w:ascii="宋体" w:hAnsi="宋体" w:eastAsia="宋体"/>
          <w:sz w:val="24"/>
          <w:szCs w:val="24"/>
        </w:rPr>
        <w:t>月</w:t>
      </w:r>
      <w:r>
        <w:rPr>
          <w:rFonts w:hint="eastAsia" w:ascii="宋体" w:hAnsi="宋体" w:eastAsia="宋体"/>
          <w:sz w:val="24"/>
          <w:szCs w:val="24"/>
          <w:lang w:val="en-US" w:eastAsia="zh-CN"/>
        </w:rPr>
        <w:t>3</w:t>
      </w:r>
      <w:r>
        <w:rPr>
          <w:rFonts w:hint="eastAsia" w:ascii="宋体" w:hAnsi="宋体" w:eastAsia="宋体"/>
          <w:sz w:val="24"/>
          <w:szCs w:val="24"/>
        </w:rPr>
        <w:t>日</w:t>
      </w:r>
      <w:r>
        <w:rPr>
          <w:rFonts w:hint="eastAsia" w:ascii="宋体" w:hAnsi="宋体" w:eastAsia="宋体"/>
          <w:sz w:val="24"/>
          <w:szCs w:val="24"/>
          <w:lang w:val="en-US" w:eastAsia="zh-CN"/>
        </w:rPr>
        <w:t>9</w:t>
      </w:r>
      <w:r>
        <w:rPr>
          <w:rFonts w:hint="eastAsia" w:ascii="宋体" w:hAnsi="宋体" w:eastAsia="宋体"/>
          <w:sz w:val="24"/>
          <w:szCs w:val="24"/>
        </w:rPr>
        <w:t>:00时，逾期送达或未送达指定地点的报价文件不予受理</w:t>
      </w:r>
      <w:r>
        <w:rPr>
          <w:rFonts w:hint="eastAsia" w:ascii="宋体" w:hAnsi="宋体"/>
          <w:sz w:val="24"/>
        </w:rPr>
        <w:t>。</w:t>
      </w:r>
    </w:p>
    <w:p w14:paraId="20AEC798">
      <w:pPr>
        <w:shd w:val="clear" w:color="auto" w:fill="FFFFFF"/>
        <w:spacing w:line="400" w:lineRule="atLeast"/>
        <w:jc w:val="left"/>
        <w:rPr>
          <w:rFonts w:hint="eastAsia" w:ascii="宋体" w:hAnsi="宋体"/>
          <w:b/>
          <w:bCs/>
          <w:sz w:val="28"/>
          <w:szCs w:val="28"/>
          <w:lang w:val="zh-CN"/>
        </w:rPr>
      </w:pPr>
      <w:r>
        <w:rPr>
          <w:rFonts w:hint="eastAsia" w:ascii="宋体" w:hAnsi="宋体"/>
          <w:b/>
          <w:bCs/>
          <w:sz w:val="28"/>
          <w:szCs w:val="28"/>
          <w:lang w:val="en-US" w:eastAsia="zh-CN"/>
        </w:rPr>
        <w:t>九</w:t>
      </w:r>
      <w:r>
        <w:rPr>
          <w:rFonts w:hint="eastAsia" w:ascii="宋体" w:hAnsi="宋体"/>
          <w:b/>
          <w:bCs/>
          <w:sz w:val="28"/>
          <w:szCs w:val="28"/>
          <w:lang w:val="zh-CN"/>
        </w:rPr>
        <w:t>、投标文件接收单位及联系人</w:t>
      </w:r>
    </w:p>
    <w:p w14:paraId="6C2B8D39">
      <w:pPr>
        <w:spacing w:line="360" w:lineRule="auto"/>
        <w:ind w:left="479" w:leftChars="228"/>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标书提交地址：张家港市锦丰镇三兴街道2202号，张家港联合铜业有限公</w:t>
      </w:r>
    </w:p>
    <w:p w14:paraId="0974EE9F">
      <w:pPr>
        <w:spacing w:line="360" w:lineRule="auto"/>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 xml:space="preserve">司综合部（企管科）；邮编：215624 </w:t>
      </w:r>
    </w:p>
    <w:p w14:paraId="7E6EEF9A">
      <w:pPr>
        <w:spacing w:line="360" w:lineRule="auto"/>
        <w:ind w:left="479" w:leftChars="228"/>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接收时间：投标截止日期前每天上午8：00至11：30，下午13：30至16：</w:t>
      </w:r>
    </w:p>
    <w:p w14:paraId="4E399247">
      <w:pPr>
        <w:spacing w:line="360" w:lineRule="auto"/>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30，节假日除外。</w:t>
      </w:r>
    </w:p>
    <w:p w14:paraId="326825CA">
      <w:pPr>
        <w:spacing w:line="360" w:lineRule="auto"/>
        <w:ind w:firstLine="480" w:firstLineChars="200"/>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 xml:space="preserve">联系人：候燕州  联系电话：0512-58572608         </w:t>
      </w:r>
    </w:p>
    <w:p w14:paraId="1631DA6B">
      <w:pPr>
        <w:pStyle w:val="12"/>
        <w:rPr>
          <w:rFonts w:hint="eastAsia" w:eastAsia="宋体" w:cstheme="minorBidi"/>
          <w:kern w:val="2"/>
          <w:sz w:val="24"/>
          <w:szCs w:val="24"/>
          <w:lang w:val="en-US" w:eastAsia="zh-CN" w:bidi="ar-SA"/>
        </w:rPr>
      </w:pPr>
      <w:r>
        <w:rPr>
          <w:rFonts w:hint="eastAsia" w:eastAsia="宋体" w:cstheme="minorBidi"/>
          <w:kern w:val="2"/>
          <w:sz w:val="24"/>
          <w:szCs w:val="24"/>
          <w:lang w:val="en-US" w:eastAsia="zh-CN" w:bidi="ar-SA"/>
        </w:rPr>
        <w:t>业务</w:t>
      </w:r>
      <w:r>
        <w:rPr>
          <w:rFonts w:hint="eastAsia" w:ascii="宋体" w:hAnsi="宋体" w:eastAsia="宋体" w:cstheme="minorBidi"/>
          <w:kern w:val="2"/>
          <w:sz w:val="24"/>
          <w:szCs w:val="24"/>
          <w:lang w:val="en-US" w:eastAsia="zh-CN" w:bidi="ar-SA"/>
        </w:rPr>
        <w:t>咨询：</w:t>
      </w:r>
      <w:r>
        <w:rPr>
          <w:rFonts w:hint="eastAsia" w:eastAsia="宋体" w:cstheme="minorBidi"/>
          <w:kern w:val="2"/>
          <w:sz w:val="24"/>
          <w:szCs w:val="24"/>
          <w:lang w:val="en-US" w:eastAsia="zh-CN" w:bidi="ar-SA"/>
        </w:rPr>
        <w:t>汪东</w:t>
      </w:r>
      <w:r>
        <w:rPr>
          <w:rFonts w:hint="eastAsia" w:ascii="宋体" w:hAnsi="宋体" w:eastAsia="宋体" w:cstheme="minorBidi"/>
          <w:kern w:val="2"/>
          <w:sz w:val="24"/>
          <w:szCs w:val="24"/>
          <w:lang w:val="en-US" w:eastAsia="zh-CN" w:bidi="ar-SA"/>
        </w:rPr>
        <w:t xml:space="preserve">   联系电话：0512</w:t>
      </w:r>
      <w:r>
        <w:rPr>
          <w:rFonts w:hint="eastAsia" w:eastAsia="宋体" w:cstheme="minorBidi"/>
          <w:kern w:val="2"/>
          <w:sz w:val="24"/>
          <w:szCs w:val="24"/>
          <w:lang w:val="en-US" w:eastAsia="zh-CN" w:bidi="ar-SA"/>
        </w:rPr>
        <w:t>-58539136</w:t>
      </w:r>
    </w:p>
    <w:p w14:paraId="13ACC32A">
      <w:pPr>
        <w:pStyle w:val="12"/>
        <w:rPr>
          <w:rFonts w:hint="eastAsia" w:eastAsia="宋体" w:cstheme="minorBidi"/>
          <w:b/>
          <w:bCs/>
          <w:color w:val="FF0000"/>
          <w:kern w:val="2"/>
          <w:sz w:val="24"/>
          <w:szCs w:val="24"/>
          <w:lang w:val="en-US" w:eastAsia="zh-CN" w:bidi="ar-SA"/>
        </w:rPr>
      </w:pPr>
      <w:r>
        <w:rPr>
          <w:rFonts w:hint="eastAsia" w:eastAsia="宋体" w:cstheme="minorBidi"/>
          <w:b/>
          <w:bCs/>
          <w:color w:val="FF0000"/>
          <w:kern w:val="2"/>
          <w:sz w:val="24"/>
          <w:szCs w:val="24"/>
          <w:lang w:val="en-US" w:eastAsia="zh-CN" w:bidi="ar-SA"/>
        </w:rPr>
        <w:t>注：所有的投标材料只接收快递邮寄的形式，且快递包装外注明竞价项目名称及编号。不接收私人上门送达投标材料，否则将被视为无效报价。</w:t>
      </w:r>
    </w:p>
    <w:p w14:paraId="648E523F">
      <w:pPr>
        <w:pStyle w:val="12"/>
        <w:rPr>
          <w:rFonts w:hint="eastAsia" w:eastAsia="宋体" w:cstheme="minorBidi"/>
          <w:b/>
          <w:bCs/>
          <w:color w:val="FF0000"/>
          <w:kern w:val="2"/>
          <w:sz w:val="24"/>
          <w:szCs w:val="24"/>
          <w:lang w:val="en-US" w:eastAsia="zh-CN" w:bidi="ar-SA"/>
        </w:rPr>
      </w:pPr>
    </w:p>
    <w:p w14:paraId="0422C4DA">
      <w:pPr>
        <w:pStyle w:val="12"/>
        <w:rPr>
          <w:rFonts w:hint="eastAsia" w:eastAsia="宋体" w:cstheme="minorBidi"/>
          <w:b/>
          <w:bCs/>
          <w:color w:val="FF0000"/>
          <w:kern w:val="2"/>
          <w:sz w:val="24"/>
          <w:szCs w:val="24"/>
          <w:lang w:val="en-US" w:eastAsia="zh-CN" w:bidi="ar-SA"/>
        </w:rPr>
      </w:pPr>
    </w:p>
    <w:p w14:paraId="38331B18">
      <w:pPr>
        <w:pStyle w:val="12"/>
        <w:rPr>
          <w:rFonts w:hint="eastAsia" w:eastAsia="宋体" w:cstheme="minorBidi"/>
          <w:b/>
          <w:bCs/>
          <w:color w:val="FF0000"/>
          <w:kern w:val="2"/>
          <w:sz w:val="24"/>
          <w:szCs w:val="24"/>
          <w:lang w:val="en-US" w:eastAsia="zh-CN" w:bidi="ar-SA"/>
        </w:rPr>
      </w:pPr>
    </w:p>
    <w:p w14:paraId="482F2B55">
      <w:pPr>
        <w:pStyle w:val="12"/>
        <w:rPr>
          <w:rFonts w:hint="eastAsia" w:eastAsia="宋体" w:cstheme="minorBidi"/>
          <w:b/>
          <w:bCs/>
          <w:color w:val="FF0000"/>
          <w:kern w:val="2"/>
          <w:sz w:val="24"/>
          <w:szCs w:val="24"/>
          <w:lang w:val="en-US" w:eastAsia="zh-CN" w:bidi="ar-SA"/>
        </w:rPr>
      </w:pPr>
    </w:p>
    <w:p w14:paraId="4CC4F474">
      <w:pPr>
        <w:pStyle w:val="12"/>
        <w:rPr>
          <w:rFonts w:hint="eastAsia" w:eastAsia="宋体" w:cstheme="minorBidi"/>
          <w:b/>
          <w:bCs/>
          <w:color w:val="FF0000"/>
          <w:kern w:val="2"/>
          <w:sz w:val="24"/>
          <w:szCs w:val="24"/>
          <w:lang w:val="en-US" w:eastAsia="zh-CN" w:bidi="ar-SA"/>
        </w:rPr>
      </w:pPr>
    </w:p>
    <w:p w14:paraId="13F6AF1F">
      <w:pPr>
        <w:pStyle w:val="12"/>
        <w:rPr>
          <w:rFonts w:hint="eastAsia" w:eastAsia="宋体" w:cstheme="minorBidi"/>
          <w:b/>
          <w:bCs/>
          <w:color w:val="FF0000"/>
          <w:kern w:val="2"/>
          <w:sz w:val="24"/>
          <w:szCs w:val="24"/>
          <w:lang w:val="en-US" w:eastAsia="zh-CN" w:bidi="ar-SA"/>
        </w:rPr>
      </w:pPr>
    </w:p>
    <w:p w14:paraId="7222C208">
      <w:pPr>
        <w:pStyle w:val="12"/>
        <w:rPr>
          <w:rFonts w:hint="eastAsia" w:eastAsia="宋体" w:cstheme="minorBidi"/>
          <w:b/>
          <w:bCs/>
          <w:color w:val="FF0000"/>
          <w:kern w:val="2"/>
          <w:sz w:val="24"/>
          <w:szCs w:val="24"/>
          <w:lang w:val="en-US" w:eastAsia="zh-CN" w:bidi="ar-SA"/>
        </w:rPr>
      </w:pPr>
    </w:p>
    <w:p w14:paraId="67110A22">
      <w:pPr>
        <w:pStyle w:val="12"/>
        <w:rPr>
          <w:rFonts w:hint="eastAsia" w:eastAsia="宋体" w:cstheme="minorBidi"/>
          <w:b/>
          <w:bCs/>
          <w:color w:val="FF0000"/>
          <w:kern w:val="2"/>
          <w:sz w:val="24"/>
          <w:szCs w:val="24"/>
          <w:lang w:val="en-US" w:eastAsia="zh-CN" w:bidi="ar-SA"/>
        </w:rPr>
      </w:pPr>
    </w:p>
    <w:p w14:paraId="38999127">
      <w:pPr>
        <w:pStyle w:val="12"/>
        <w:rPr>
          <w:rFonts w:hint="eastAsia" w:eastAsia="宋体" w:cstheme="minorBidi"/>
          <w:b/>
          <w:bCs/>
          <w:color w:val="FF0000"/>
          <w:kern w:val="2"/>
          <w:sz w:val="24"/>
          <w:szCs w:val="24"/>
          <w:lang w:val="en-US" w:eastAsia="zh-CN" w:bidi="ar-SA"/>
        </w:rPr>
      </w:pPr>
      <w:bookmarkStart w:id="0" w:name="_GoBack"/>
      <w:bookmarkEnd w:id="0"/>
    </w:p>
    <w:p w14:paraId="107B6D44">
      <w:pPr>
        <w:pStyle w:val="12"/>
        <w:rPr>
          <w:rFonts w:hint="eastAsia" w:eastAsia="宋体" w:cstheme="minorBidi"/>
          <w:b/>
          <w:bCs/>
          <w:color w:val="FF0000"/>
          <w:kern w:val="2"/>
          <w:sz w:val="24"/>
          <w:szCs w:val="24"/>
          <w:lang w:val="en-US" w:eastAsia="zh-CN" w:bidi="ar-SA"/>
        </w:rPr>
      </w:pPr>
    </w:p>
    <w:p w14:paraId="1908F4DF">
      <w:pPr>
        <w:pStyle w:val="12"/>
        <w:rPr>
          <w:rFonts w:hint="eastAsia" w:eastAsia="宋体" w:cstheme="minorBidi"/>
          <w:b/>
          <w:bCs/>
          <w:color w:val="FF0000"/>
          <w:kern w:val="2"/>
          <w:sz w:val="24"/>
          <w:szCs w:val="24"/>
          <w:lang w:val="en-US" w:eastAsia="zh-CN" w:bidi="ar-SA"/>
        </w:rPr>
      </w:pPr>
    </w:p>
    <w:p w14:paraId="1115E1A3">
      <w:pPr>
        <w:pStyle w:val="12"/>
        <w:rPr>
          <w:rFonts w:hint="eastAsia" w:eastAsia="宋体" w:cstheme="minorBidi"/>
          <w:b/>
          <w:bCs/>
          <w:color w:val="FF0000"/>
          <w:kern w:val="2"/>
          <w:sz w:val="24"/>
          <w:szCs w:val="24"/>
          <w:lang w:val="en-US" w:eastAsia="zh-CN" w:bidi="ar-SA"/>
        </w:rPr>
      </w:pPr>
    </w:p>
    <w:p w14:paraId="3D2AE86C">
      <w:pPr>
        <w:pStyle w:val="12"/>
        <w:ind w:left="0" w:leftChars="0" w:firstLine="0" w:firstLineChars="0"/>
        <w:rPr>
          <w:rFonts w:hint="eastAsia" w:eastAsia="宋体" w:cstheme="minorBidi"/>
          <w:b/>
          <w:bCs/>
          <w:color w:val="FF0000"/>
          <w:kern w:val="2"/>
          <w:sz w:val="24"/>
          <w:szCs w:val="24"/>
          <w:lang w:val="en-US" w:eastAsia="zh-CN" w:bidi="ar-SA"/>
        </w:rPr>
      </w:pPr>
    </w:p>
    <w:p w14:paraId="727895CD">
      <w:pPr>
        <w:pStyle w:val="12"/>
        <w:rPr>
          <w:rFonts w:hint="eastAsia" w:eastAsia="宋体" w:cstheme="minorBidi"/>
          <w:b/>
          <w:bCs/>
          <w:color w:val="FF0000"/>
          <w:kern w:val="2"/>
          <w:sz w:val="24"/>
          <w:szCs w:val="24"/>
          <w:lang w:val="en-US" w:eastAsia="zh-CN" w:bidi="ar-SA"/>
        </w:rPr>
      </w:pPr>
    </w:p>
    <w:p w14:paraId="7E2503C6">
      <w:pPr>
        <w:pStyle w:val="16"/>
        <w:ind w:left="0" w:leftChars="0" w:firstLine="482" w:firstLineChars="200"/>
        <w:jc w:val="left"/>
        <w:rPr>
          <w:rFonts w:hint="default" w:ascii="宋体" w:hAnsi="宋体" w:eastAsia="宋体" w:cs="宋体"/>
          <w:b/>
          <w:bCs/>
          <w:color w:val="auto"/>
          <w:sz w:val="24"/>
          <w:szCs w:val="24"/>
          <w:lang w:val="en-US" w:eastAsia="zh-CN"/>
        </w:rPr>
      </w:pPr>
      <w:r>
        <w:rPr>
          <w:rFonts w:hint="eastAsia" w:eastAsia="宋体" w:cs="宋体"/>
          <w:b/>
          <w:bCs/>
          <w:color w:val="auto"/>
          <w:sz w:val="24"/>
          <w:szCs w:val="24"/>
          <w:lang w:val="en-US" w:eastAsia="zh-CN"/>
        </w:rPr>
        <w:t>附件：1</w:t>
      </w:r>
    </w:p>
    <w:p w14:paraId="6586155F">
      <w:pPr>
        <w:pStyle w:val="16"/>
        <w:ind w:left="0" w:leftChars="0" w:firstLine="482" w:firstLineChars="200"/>
        <w:jc w:val="center"/>
        <w:rPr>
          <w:rFonts w:hint="eastAsia" w:ascii="宋体" w:hAnsi="宋体" w:eastAsia="宋体" w:cs="宋体"/>
          <w:b/>
          <w:bCs/>
          <w:color w:val="auto"/>
          <w:sz w:val="24"/>
          <w:szCs w:val="24"/>
        </w:rPr>
      </w:pPr>
    </w:p>
    <w:p w14:paraId="2FEE8D93">
      <w:pPr>
        <w:pStyle w:val="16"/>
        <w:ind w:left="0" w:leftChars="0" w:firstLine="482" w:firstLineChars="20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202</w:t>
      </w:r>
      <w:r>
        <w:rPr>
          <w:rFonts w:hint="eastAsia" w:eastAsia="宋体" w:cs="宋体"/>
          <w:b/>
          <w:bCs/>
          <w:color w:val="auto"/>
          <w:sz w:val="24"/>
          <w:szCs w:val="24"/>
          <w:lang w:val="en-US" w:eastAsia="zh-CN"/>
        </w:rPr>
        <w:t>6</w:t>
      </w:r>
      <w:r>
        <w:rPr>
          <w:rFonts w:hint="eastAsia" w:ascii="宋体" w:hAnsi="宋体" w:eastAsia="宋体" w:cs="宋体"/>
          <w:b/>
          <w:bCs/>
          <w:color w:val="auto"/>
          <w:sz w:val="24"/>
          <w:szCs w:val="24"/>
        </w:rPr>
        <w:t>年</w:t>
      </w:r>
      <w:r>
        <w:rPr>
          <w:rFonts w:hint="eastAsia" w:ascii="宋体" w:hAnsi="宋体" w:eastAsia="宋体" w:cs="宋体"/>
          <w:b/>
          <w:bCs/>
          <w:sz w:val="24"/>
          <w:szCs w:val="24"/>
          <w:lang w:val="en-US" w:eastAsia="zh-CN"/>
        </w:rPr>
        <w:t>安全生产责任保险</w:t>
      </w:r>
      <w:r>
        <w:rPr>
          <w:rFonts w:hint="eastAsia" w:ascii="宋体" w:hAnsi="宋体" w:eastAsia="宋体" w:cs="宋体"/>
          <w:b/>
          <w:bCs/>
          <w:color w:val="auto"/>
          <w:sz w:val="24"/>
          <w:szCs w:val="24"/>
        </w:rPr>
        <w:t>评分表</w:t>
      </w:r>
    </w:p>
    <w:p w14:paraId="4F79E8F6">
      <w:pPr>
        <w:pStyle w:val="16"/>
        <w:ind w:left="0" w:leftChars="0" w:firstLine="482" w:firstLineChars="200"/>
        <w:jc w:val="center"/>
        <w:rPr>
          <w:rFonts w:hint="eastAsia" w:ascii="宋体" w:hAnsi="宋体" w:eastAsia="宋体" w:cs="宋体"/>
          <w:b/>
          <w:bCs/>
          <w:color w:val="auto"/>
          <w:sz w:val="24"/>
          <w:szCs w:val="24"/>
        </w:rPr>
      </w:pPr>
    </w:p>
    <w:tbl>
      <w:tblPr>
        <w:tblStyle w:val="10"/>
        <w:tblW w:w="5772" w:type="pct"/>
        <w:jc w:val="center"/>
        <w:tblLayout w:type="fixed"/>
        <w:tblCellMar>
          <w:top w:w="0" w:type="dxa"/>
          <w:left w:w="108" w:type="dxa"/>
          <w:bottom w:w="0" w:type="dxa"/>
          <w:right w:w="108" w:type="dxa"/>
        </w:tblCellMar>
      </w:tblPr>
      <w:tblGrid>
        <w:gridCol w:w="2040"/>
        <w:gridCol w:w="6716"/>
        <w:gridCol w:w="1082"/>
      </w:tblGrid>
      <w:tr w14:paraId="6D23FDAA">
        <w:tblPrEx>
          <w:tblCellMar>
            <w:top w:w="0" w:type="dxa"/>
            <w:left w:w="108" w:type="dxa"/>
            <w:bottom w:w="0" w:type="dxa"/>
            <w:right w:w="108" w:type="dxa"/>
          </w:tblCellMar>
        </w:tblPrEx>
        <w:trPr>
          <w:trHeight w:val="1129" w:hRule="atLeast"/>
          <w:jc w:val="center"/>
        </w:trPr>
        <w:tc>
          <w:tcPr>
            <w:tcW w:w="2040" w:type="dxa"/>
            <w:tcBorders>
              <w:top w:val="single" w:color="000000" w:sz="6" w:space="0"/>
              <w:left w:val="single" w:color="000000" w:sz="6" w:space="0"/>
              <w:bottom w:val="single" w:color="000000" w:sz="6" w:space="0"/>
              <w:right w:val="single" w:color="000000" w:sz="6" w:space="0"/>
            </w:tcBorders>
            <w:noWrap w:val="0"/>
            <w:vAlign w:val="center"/>
          </w:tcPr>
          <w:p w14:paraId="0D877D1E">
            <w:pPr>
              <w:spacing w:before="156" w:beforeLines="50" w:after="156" w:afterLines="50"/>
              <w:jc w:val="center"/>
              <w:rPr>
                <w:rFonts w:ascii="宋体" w:hAnsi="宋体"/>
                <w:sz w:val="24"/>
                <w:szCs w:val="22"/>
              </w:rPr>
            </w:pPr>
            <w:r>
              <w:rPr>
                <w:rFonts w:hint="eastAsia" w:ascii="宋体" w:hAnsi="宋体"/>
                <w:sz w:val="24"/>
                <w:szCs w:val="22"/>
              </w:rPr>
              <w:t>评分项目</w:t>
            </w:r>
          </w:p>
        </w:tc>
        <w:tc>
          <w:tcPr>
            <w:tcW w:w="6716" w:type="dxa"/>
            <w:tcBorders>
              <w:top w:val="single" w:color="000000" w:sz="6" w:space="0"/>
              <w:left w:val="single" w:color="000000" w:sz="6" w:space="0"/>
              <w:bottom w:val="single" w:color="000000" w:sz="6" w:space="0"/>
              <w:right w:val="single" w:color="000000" w:sz="6" w:space="0"/>
            </w:tcBorders>
            <w:noWrap w:val="0"/>
            <w:vAlign w:val="center"/>
          </w:tcPr>
          <w:p w14:paraId="058EAB91">
            <w:pPr>
              <w:spacing w:before="156" w:beforeLines="50" w:after="156" w:afterLines="50"/>
              <w:jc w:val="center"/>
              <w:rPr>
                <w:rFonts w:ascii="宋体" w:hAnsi="宋体"/>
                <w:sz w:val="24"/>
                <w:szCs w:val="22"/>
              </w:rPr>
            </w:pPr>
            <w:r>
              <w:rPr>
                <w:rFonts w:hint="eastAsia" w:ascii="宋体" w:hAnsi="宋体"/>
                <w:sz w:val="24"/>
                <w:szCs w:val="22"/>
              </w:rPr>
              <w:t>评分参考及范围</w:t>
            </w:r>
          </w:p>
        </w:tc>
        <w:tc>
          <w:tcPr>
            <w:tcW w:w="1082" w:type="dxa"/>
            <w:tcBorders>
              <w:top w:val="single" w:color="000000" w:sz="6" w:space="0"/>
              <w:left w:val="single" w:color="000000" w:sz="6" w:space="0"/>
              <w:bottom w:val="single" w:color="000000" w:sz="6" w:space="0"/>
              <w:right w:val="single" w:color="000000" w:sz="6" w:space="0"/>
            </w:tcBorders>
            <w:noWrap w:val="0"/>
            <w:vAlign w:val="center"/>
          </w:tcPr>
          <w:p w14:paraId="401EA385">
            <w:pPr>
              <w:spacing w:before="156" w:beforeLines="50" w:after="156" w:afterLines="50"/>
              <w:jc w:val="center"/>
              <w:rPr>
                <w:rFonts w:ascii="宋体" w:hAnsi="宋体"/>
                <w:sz w:val="24"/>
                <w:szCs w:val="22"/>
              </w:rPr>
            </w:pPr>
            <w:r>
              <w:rPr>
                <w:rFonts w:hint="eastAsia" w:ascii="宋体" w:hAnsi="宋体"/>
                <w:sz w:val="24"/>
                <w:szCs w:val="22"/>
              </w:rPr>
              <w:t>分值</w:t>
            </w:r>
          </w:p>
        </w:tc>
      </w:tr>
      <w:tr w14:paraId="2CB8B41B">
        <w:tblPrEx>
          <w:tblCellMar>
            <w:top w:w="0" w:type="dxa"/>
            <w:left w:w="108" w:type="dxa"/>
            <w:bottom w:w="0" w:type="dxa"/>
            <w:right w:w="108" w:type="dxa"/>
          </w:tblCellMar>
        </w:tblPrEx>
        <w:trPr>
          <w:trHeight w:val="1214" w:hRule="atLeast"/>
          <w:jc w:val="center"/>
        </w:trPr>
        <w:tc>
          <w:tcPr>
            <w:tcW w:w="2040" w:type="dxa"/>
            <w:tcBorders>
              <w:top w:val="single" w:color="000000" w:sz="6" w:space="0"/>
              <w:left w:val="single" w:color="000000" w:sz="6" w:space="0"/>
              <w:bottom w:val="single" w:color="auto" w:sz="4" w:space="0"/>
              <w:right w:val="single" w:color="000000" w:sz="6" w:space="0"/>
            </w:tcBorders>
            <w:noWrap w:val="0"/>
            <w:vAlign w:val="center"/>
          </w:tcPr>
          <w:p w14:paraId="0D34C82C">
            <w:pPr>
              <w:ind w:firstLine="210" w:firstLineChars="100"/>
              <w:jc w:val="center"/>
              <w:rPr>
                <w:rFonts w:hint="eastAsia"/>
                <w:highlight w:val="none"/>
              </w:rPr>
            </w:pPr>
            <w:r>
              <w:rPr>
                <w:rFonts w:hint="eastAsia"/>
                <w:highlight w:val="none"/>
              </w:rPr>
              <w:t>投标报价</w:t>
            </w:r>
          </w:p>
        </w:tc>
        <w:tc>
          <w:tcPr>
            <w:tcW w:w="6716" w:type="dxa"/>
            <w:tcBorders>
              <w:top w:val="single" w:color="000000" w:sz="6" w:space="0"/>
              <w:left w:val="single" w:color="000000" w:sz="6" w:space="0"/>
              <w:bottom w:val="single" w:color="000000" w:sz="6" w:space="0"/>
              <w:right w:val="single" w:color="000000" w:sz="6" w:space="0"/>
            </w:tcBorders>
            <w:noWrap w:val="0"/>
            <w:vAlign w:val="center"/>
          </w:tcPr>
          <w:p w14:paraId="7228534A">
            <w:pPr>
              <w:jc w:val="left"/>
              <w:rPr>
                <w:rFonts w:hint="default" w:eastAsiaTheme="minorEastAsia"/>
                <w:highlight w:val="none"/>
                <w:lang w:val="en-US" w:eastAsia="zh-CN"/>
              </w:rPr>
            </w:pPr>
            <w:r>
              <w:rPr>
                <w:rFonts w:hint="eastAsia"/>
                <w:highlight w:val="none"/>
                <w:lang w:val="en-US" w:eastAsia="zh-CN"/>
              </w:rPr>
              <w:t>报价按有色行业、人员为495人投保。保额符合苏州市高危企业安责险投保要求即得40分，不符合要求不得分。</w:t>
            </w:r>
          </w:p>
        </w:tc>
        <w:tc>
          <w:tcPr>
            <w:tcW w:w="1082" w:type="dxa"/>
            <w:tcBorders>
              <w:top w:val="single" w:color="000000" w:sz="6" w:space="0"/>
              <w:left w:val="single" w:color="000000" w:sz="6" w:space="0"/>
              <w:bottom w:val="single" w:color="000000" w:sz="6" w:space="0"/>
              <w:right w:val="single" w:color="000000" w:sz="6" w:space="0"/>
            </w:tcBorders>
            <w:noWrap w:val="0"/>
            <w:vAlign w:val="center"/>
          </w:tcPr>
          <w:p w14:paraId="37B76595">
            <w:pPr>
              <w:jc w:val="center"/>
              <w:rPr>
                <w:rFonts w:hint="default" w:eastAsiaTheme="minorEastAsia"/>
                <w:lang w:val="en-US" w:eastAsia="zh-CN"/>
              </w:rPr>
            </w:pPr>
            <w:r>
              <w:rPr>
                <w:rFonts w:hint="eastAsia"/>
                <w:lang w:val="en-US" w:eastAsia="zh-CN"/>
              </w:rPr>
              <w:t>40</w:t>
            </w:r>
          </w:p>
        </w:tc>
      </w:tr>
      <w:tr w14:paraId="0B14BA7D">
        <w:tblPrEx>
          <w:tblCellMar>
            <w:top w:w="0" w:type="dxa"/>
            <w:left w:w="108" w:type="dxa"/>
            <w:bottom w:w="0" w:type="dxa"/>
            <w:right w:w="108" w:type="dxa"/>
          </w:tblCellMar>
        </w:tblPrEx>
        <w:trPr>
          <w:trHeight w:val="2955" w:hRule="atLeast"/>
          <w:jc w:val="center"/>
        </w:trPr>
        <w:tc>
          <w:tcPr>
            <w:tcW w:w="2040" w:type="dxa"/>
            <w:tcBorders>
              <w:top w:val="single" w:color="000000" w:sz="6" w:space="0"/>
              <w:left w:val="single" w:color="auto" w:sz="4" w:space="0"/>
              <w:right w:val="single" w:color="000000" w:sz="6" w:space="0"/>
            </w:tcBorders>
            <w:noWrap w:val="0"/>
            <w:vAlign w:val="center"/>
          </w:tcPr>
          <w:p w14:paraId="2A17AE72">
            <w:pPr>
              <w:spacing w:line="320" w:lineRule="exact"/>
              <w:jc w:val="center"/>
              <w:rPr>
                <w:rFonts w:hint="eastAsia" w:ascii="宋体" w:hAnsi="宋体" w:eastAsiaTheme="minorEastAsia"/>
                <w:szCs w:val="21"/>
                <w:lang w:eastAsia="zh-CN"/>
              </w:rPr>
            </w:pPr>
            <w:r>
              <w:rPr>
                <w:rFonts w:hint="eastAsia" w:ascii="宋体" w:hAnsi="宋体"/>
                <w:szCs w:val="21"/>
                <w:lang w:val="en-US" w:eastAsia="zh-CN"/>
              </w:rPr>
              <w:t>综合偿付能力</w:t>
            </w:r>
          </w:p>
        </w:tc>
        <w:tc>
          <w:tcPr>
            <w:tcW w:w="6716"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D1313CE">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根据投标人总公司 </w:t>
            </w:r>
            <w:r>
              <w:rPr>
                <w:rStyle w:val="17"/>
                <w:rFonts w:eastAsia="宋体"/>
                <w:lang w:val="en-US" w:eastAsia="zh-CN" w:bidi="ar"/>
              </w:rPr>
              <w:t xml:space="preserve">2025 </w:t>
            </w:r>
            <w:r>
              <w:rPr>
                <w:rStyle w:val="18"/>
                <w:lang w:val="en-US" w:eastAsia="zh-CN" w:bidi="ar"/>
              </w:rPr>
              <w:t>年综合偿付能力充足率进行评分：综合偿付能力充足率≥</w:t>
            </w:r>
            <w:r>
              <w:rPr>
                <w:rStyle w:val="17"/>
                <w:rFonts w:eastAsia="宋体"/>
                <w:lang w:val="en-US" w:eastAsia="zh-CN" w:bidi="ar"/>
              </w:rPr>
              <w:t>200%</w:t>
            </w:r>
            <w:r>
              <w:rPr>
                <w:rStyle w:val="18"/>
                <w:lang w:val="en-US" w:eastAsia="zh-CN" w:bidi="ar"/>
              </w:rPr>
              <w:t xml:space="preserve">，得 </w:t>
            </w:r>
            <w:r>
              <w:rPr>
                <w:rStyle w:val="17"/>
                <w:rFonts w:eastAsia="宋体"/>
                <w:lang w:val="en-US" w:eastAsia="zh-CN" w:bidi="ar"/>
              </w:rPr>
              <w:t xml:space="preserve">20 </w:t>
            </w:r>
            <w:r>
              <w:rPr>
                <w:rStyle w:val="18"/>
                <w:lang w:val="en-US" w:eastAsia="zh-CN" w:bidi="ar"/>
              </w:rPr>
              <w:t>分；</w:t>
            </w:r>
            <w:r>
              <w:rPr>
                <w:rStyle w:val="18"/>
                <w:lang w:val="en-US" w:eastAsia="zh-CN" w:bidi="ar"/>
              </w:rPr>
              <w:br w:type="textWrapping"/>
            </w:r>
            <w:r>
              <w:rPr>
                <w:rStyle w:val="18"/>
                <w:lang w:val="en-US" w:eastAsia="zh-CN" w:bidi="ar"/>
              </w:rPr>
              <w:t>综合偿付能力充足率≥</w:t>
            </w:r>
            <w:r>
              <w:rPr>
                <w:rStyle w:val="17"/>
                <w:rFonts w:eastAsia="宋体"/>
                <w:lang w:val="en-US" w:eastAsia="zh-CN" w:bidi="ar"/>
              </w:rPr>
              <w:t>180%</w:t>
            </w:r>
            <w:r>
              <w:rPr>
                <w:rStyle w:val="18"/>
                <w:lang w:val="en-US" w:eastAsia="zh-CN" w:bidi="ar"/>
              </w:rPr>
              <w:t>＜</w:t>
            </w:r>
            <w:r>
              <w:rPr>
                <w:rStyle w:val="17"/>
                <w:rFonts w:eastAsia="宋体"/>
                <w:lang w:val="en-US" w:eastAsia="zh-CN" w:bidi="ar"/>
              </w:rPr>
              <w:t>200%</w:t>
            </w:r>
            <w:r>
              <w:rPr>
                <w:rStyle w:val="18"/>
                <w:lang w:val="en-US" w:eastAsia="zh-CN" w:bidi="ar"/>
              </w:rPr>
              <w:t xml:space="preserve">，得 </w:t>
            </w:r>
            <w:r>
              <w:rPr>
                <w:rStyle w:val="17"/>
                <w:rFonts w:eastAsia="宋体"/>
                <w:lang w:val="en-US" w:eastAsia="zh-CN" w:bidi="ar"/>
              </w:rPr>
              <w:t>15</w:t>
            </w:r>
            <w:r>
              <w:rPr>
                <w:rStyle w:val="18"/>
                <w:lang w:val="en-US" w:eastAsia="zh-CN" w:bidi="ar"/>
              </w:rPr>
              <w:t>分；</w:t>
            </w:r>
            <w:r>
              <w:rPr>
                <w:rStyle w:val="18"/>
                <w:lang w:val="en-US" w:eastAsia="zh-CN" w:bidi="ar"/>
              </w:rPr>
              <w:br w:type="textWrapping"/>
            </w:r>
            <w:r>
              <w:rPr>
                <w:rStyle w:val="18"/>
                <w:lang w:val="en-US" w:eastAsia="zh-CN" w:bidi="ar"/>
              </w:rPr>
              <w:t>综合偿付能力充足率≥</w:t>
            </w:r>
            <w:r>
              <w:rPr>
                <w:rStyle w:val="17"/>
                <w:rFonts w:eastAsia="宋体"/>
                <w:lang w:val="en-US" w:eastAsia="zh-CN" w:bidi="ar"/>
              </w:rPr>
              <w:t>150%</w:t>
            </w:r>
            <w:r>
              <w:rPr>
                <w:rStyle w:val="18"/>
                <w:lang w:val="en-US" w:eastAsia="zh-CN" w:bidi="ar"/>
              </w:rPr>
              <w:t>＜</w:t>
            </w:r>
            <w:r>
              <w:rPr>
                <w:rStyle w:val="17"/>
                <w:rFonts w:eastAsia="宋体"/>
                <w:lang w:val="en-US" w:eastAsia="zh-CN" w:bidi="ar"/>
              </w:rPr>
              <w:t>180%</w:t>
            </w:r>
            <w:r>
              <w:rPr>
                <w:rStyle w:val="18"/>
                <w:lang w:val="en-US" w:eastAsia="zh-CN" w:bidi="ar"/>
              </w:rPr>
              <w:t xml:space="preserve">，得 </w:t>
            </w:r>
            <w:r>
              <w:rPr>
                <w:rStyle w:val="17"/>
                <w:rFonts w:eastAsia="宋体"/>
                <w:lang w:val="en-US" w:eastAsia="zh-CN" w:bidi="ar"/>
              </w:rPr>
              <w:t xml:space="preserve">10 </w:t>
            </w:r>
            <w:r>
              <w:rPr>
                <w:rStyle w:val="18"/>
                <w:lang w:val="en-US" w:eastAsia="zh-CN" w:bidi="ar"/>
              </w:rPr>
              <w:t>分；</w:t>
            </w:r>
            <w:r>
              <w:rPr>
                <w:rStyle w:val="18"/>
                <w:lang w:val="en-US" w:eastAsia="zh-CN" w:bidi="ar"/>
              </w:rPr>
              <w:br w:type="textWrapping"/>
            </w:r>
            <w:r>
              <w:rPr>
                <w:rStyle w:val="18"/>
                <w:lang w:val="en-US" w:eastAsia="zh-CN" w:bidi="ar"/>
              </w:rPr>
              <w:t>综合偿付能力充足率≥</w:t>
            </w:r>
            <w:r>
              <w:rPr>
                <w:rStyle w:val="17"/>
                <w:rFonts w:eastAsia="宋体"/>
                <w:lang w:val="en-US" w:eastAsia="zh-CN" w:bidi="ar"/>
              </w:rPr>
              <w:t>120%</w:t>
            </w:r>
            <w:r>
              <w:rPr>
                <w:rStyle w:val="18"/>
                <w:lang w:val="en-US" w:eastAsia="zh-CN" w:bidi="ar"/>
              </w:rPr>
              <w:t>＜</w:t>
            </w:r>
            <w:r>
              <w:rPr>
                <w:rStyle w:val="17"/>
                <w:rFonts w:eastAsia="宋体"/>
                <w:lang w:val="en-US" w:eastAsia="zh-CN" w:bidi="ar"/>
              </w:rPr>
              <w:t>150%</w:t>
            </w:r>
            <w:r>
              <w:rPr>
                <w:rStyle w:val="18"/>
                <w:lang w:val="en-US" w:eastAsia="zh-CN" w:bidi="ar"/>
              </w:rPr>
              <w:t xml:space="preserve">，得 </w:t>
            </w:r>
            <w:r>
              <w:rPr>
                <w:rStyle w:val="17"/>
                <w:rFonts w:eastAsia="宋体"/>
                <w:lang w:val="en-US" w:eastAsia="zh-CN" w:bidi="ar"/>
              </w:rPr>
              <w:t xml:space="preserve">5 </w:t>
            </w:r>
            <w:r>
              <w:rPr>
                <w:rStyle w:val="18"/>
                <w:lang w:val="en-US" w:eastAsia="zh-CN" w:bidi="ar"/>
              </w:rPr>
              <w:t>分；</w:t>
            </w:r>
            <w:r>
              <w:rPr>
                <w:rStyle w:val="18"/>
                <w:lang w:val="en-US" w:eastAsia="zh-CN" w:bidi="ar"/>
              </w:rPr>
              <w:br w:type="textWrapping"/>
            </w:r>
            <w:r>
              <w:rPr>
                <w:rStyle w:val="18"/>
                <w:lang w:val="en-US" w:eastAsia="zh-CN" w:bidi="ar"/>
              </w:rPr>
              <w:t xml:space="preserve">综合偿付能力充足率低于 </w:t>
            </w:r>
            <w:r>
              <w:rPr>
                <w:rStyle w:val="17"/>
                <w:rFonts w:eastAsia="宋体"/>
                <w:lang w:val="en-US" w:eastAsia="zh-CN" w:bidi="ar"/>
              </w:rPr>
              <w:t>120%</w:t>
            </w:r>
            <w:r>
              <w:rPr>
                <w:rStyle w:val="18"/>
                <w:lang w:val="en-US" w:eastAsia="zh-CN" w:bidi="ar"/>
              </w:rPr>
              <w:t xml:space="preserve">的不得分。（请在投标文件中提供总公司 </w:t>
            </w:r>
            <w:r>
              <w:rPr>
                <w:rStyle w:val="17"/>
                <w:rFonts w:eastAsia="宋体"/>
                <w:lang w:val="en-US" w:eastAsia="zh-CN" w:bidi="ar"/>
              </w:rPr>
              <w:t xml:space="preserve">2025 </w:t>
            </w:r>
            <w:r>
              <w:rPr>
                <w:rStyle w:val="18"/>
                <w:lang w:val="en-US" w:eastAsia="zh-CN" w:bidi="ar"/>
              </w:rPr>
              <w:t>年第四季度偿付能力信息并加盖投标单位公章，提供不全或未提供的不得分）</w:t>
            </w:r>
          </w:p>
        </w:tc>
        <w:tc>
          <w:tcPr>
            <w:tcW w:w="1082" w:type="dxa"/>
            <w:tcBorders>
              <w:top w:val="single" w:color="000000" w:sz="6" w:space="0"/>
              <w:left w:val="single" w:color="000000" w:sz="6" w:space="0"/>
              <w:right w:val="single" w:color="000000" w:sz="2" w:space="0"/>
            </w:tcBorders>
            <w:noWrap w:val="0"/>
            <w:vAlign w:val="center"/>
          </w:tcPr>
          <w:p w14:paraId="278FC6A3">
            <w:pPr>
              <w:spacing w:line="320" w:lineRule="exact"/>
              <w:jc w:val="center"/>
              <w:rPr>
                <w:rFonts w:hint="eastAsia" w:ascii="宋体" w:hAnsi="宋体"/>
                <w:szCs w:val="21"/>
              </w:rPr>
            </w:pPr>
          </w:p>
          <w:p w14:paraId="741F2DF9">
            <w:pPr>
              <w:spacing w:line="320" w:lineRule="exact"/>
              <w:jc w:val="center"/>
              <w:rPr>
                <w:rFonts w:hint="default" w:ascii="宋体" w:hAnsi="宋体" w:eastAsiaTheme="minorEastAsia"/>
                <w:szCs w:val="21"/>
                <w:lang w:val="en-US" w:eastAsia="zh-CN"/>
              </w:rPr>
            </w:pPr>
            <w:r>
              <w:rPr>
                <w:rFonts w:hint="eastAsia" w:ascii="宋体" w:hAnsi="宋体"/>
                <w:szCs w:val="21"/>
                <w:lang w:val="en-US" w:eastAsia="zh-CN"/>
              </w:rPr>
              <w:t>20</w:t>
            </w:r>
          </w:p>
        </w:tc>
      </w:tr>
      <w:tr w14:paraId="71AF899B">
        <w:tblPrEx>
          <w:tblCellMar>
            <w:top w:w="0" w:type="dxa"/>
            <w:left w:w="108" w:type="dxa"/>
            <w:bottom w:w="0" w:type="dxa"/>
            <w:right w:w="108" w:type="dxa"/>
          </w:tblCellMar>
        </w:tblPrEx>
        <w:trPr>
          <w:trHeight w:val="1081" w:hRule="atLeast"/>
          <w:jc w:val="center"/>
        </w:trPr>
        <w:tc>
          <w:tcPr>
            <w:tcW w:w="2040" w:type="dxa"/>
            <w:tcBorders>
              <w:top w:val="single" w:color="000000" w:sz="6" w:space="0"/>
              <w:left w:val="single" w:color="auto" w:sz="4" w:space="0"/>
              <w:right w:val="single" w:color="000000" w:sz="6" w:space="0"/>
            </w:tcBorders>
            <w:noWrap w:val="0"/>
            <w:vAlign w:val="center"/>
          </w:tcPr>
          <w:p w14:paraId="398D77C3">
            <w:pPr>
              <w:spacing w:line="320" w:lineRule="exact"/>
              <w:jc w:val="center"/>
              <w:rPr>
                <w:rFonts w:hint="eastAsia" w:ascii="宋体" w:hAnsi="宋体" w:eastAsiaTheme="minorEastAsia"/>
                <w:szCs w:val="21"/>
                <w:lang w:val="en-US" w:eastAsia="zh-CN"/>
              </w:rPr>
            </w:pPr>
            <w:r>
              <w:rPr>
                <w:rFonts w:hint="eastAsia" w:ascii="宋体" w:hAnsi="宋体"/>
                <w:szCs w:val="21"/>
                <w:lang w:val="en-US" w:eastAsia="zh-CN"/>
              </w:rPr>
              <w:t>公司</w:t>
            </w:r>
            <w:r>
              <w:rPr>
                <w:rFonts w:hint="eastAsia" w:ascii="宋体" w:hAnsi="宋体"/>
                <w:szCs w:val="21"/>
              </w:rPr>
              <w:t>营业规模</w:t>
            </w:r>
            <w:r>
              <w:rPr>
                <w:rFonts w:hint="eastAsia" w:ascii="宋体" w:hAnsi="宋体"/>
                <w:szCs w:val="21"/>
                <w:lang w:eastAsia="zh-CN"/>
              </w:rPr>
              <w:t>（</w:t>
            </w:r>
            <w:r>
              <w:rPr>
                <w:rFonts w:hint="eastAsia" w:ascii="宋体" w:hAnsi="宋体"/>
                <w:szCs w:val="21"/>
              </w:rPr>
              <w:t>业绩</w:t>
            </w:r>
            <w:r>
              <w:rPr>
                <w:rFonts w:hint="eastAsia" w:ascii="宋体" w:hAnsi="宋体"/>
                <w:szCs w:val="21"/>
                <w:lang w:eastAsia="zh-CN"/>
              </w:rPr>
              <w:t>）</w:t>
            </w:r>
          </w:p>
        </w:tc>
        <w:tc>
          <w:tcPr>
            <w:tcW w:w="6716" w:type="dxa"/>
            <w:tcBorders>
              <w:top w:val="single" w:color="000000" w:sz="6" w:space="0"/>
              <w:left w:val="single" w:color="000000" w:sz="6" w:space="0"/>
              <w:bottom w:val="single" w:color="000000" w:sz="6" w:space="0"/>
              <w:right w:val="single" w:color="000000" w:sz="6" w:space="0"/>
            </w:tcBorders>
            <w:noWrap w:val="0"/>
            <w:vAlign w:val="center"/>
          </w:tcPr>
          <w:p w14:paraId="3952A077">
            <w:pPr>
              <w:spacing w:line="320" w:lineRule="exact"/>
              <w:jc w:val="left"/>
              <w:rPr>
                <w:rFonts w:hint="default" w:ascii="宋体" w:hAnsi="宋体"/>
                <w:szCs w:val="21"/>
                <w:lang w:val="en-US" w:eastAsia="zh-CN"/>
              </w:rPr>
            </w:pPr>
            <w:r>
              <w:rPr>
                <w:rFonts w:hint="eastAsia" w:ascii="宋体" w:hAnsi="宋体"/>
                <w:szCs w:val="21"/>
                <w:lang w:val="en-US" w:eastAsia="zh-CN"/>
              </w:rPr>
              <w:t>张家港地区安责险上一年度投保费规模至少200-299万以上得10分，300-399万得15分，400-499万得20分，500万及以上25分，最高25分。</w:t>
            </w:r>
          </w:p>
        </w:tc>
        <w:tc>
          <w:tcPr>
            <w:tcW w:w="1082" w:type="dxa"/>
            <w:tcBorders>
              <w:top w:val="single" w:color="000000" w:sz="6" w:space="0"/>
              <w:left w:val="single" w:color="000000" w:sz="6" w:space="0"/>
              <w:right w:val="single" w:color="000000" w:sz="2" w:space="0"/>
            </w:tcBorders>
            <w:noWrap w:val="0"/>
            <w:vAlign w:val="center"/>
          </w:tcPr>
          <w:p w14:paraId="0EDF3B15">
            <w:pPr>
              <w:spacing w:before="156" w:beforeLines="50" w:after="156" w:afterLines="50"/>
              <w:jc w:val="center"/>
              <w:rPr>
                <w:rFonts w:hint="default" w:ascii="宋体" w:hAnsi="宋体"/>
                <w:szCs w:val="21"/>
                <w:lang w:val="en-US" w:eastAsia="zh-CN"/>
              </w:rPr>
            </w:pPr>
            <w:r>
              <w:rPr>
                <w:rFonts w:hint="eastAsia" w:ascii="宋体" w:hAnsi="宋体"/>
                <w:szCs w:val="21"/>
                <w:lang w:val="en-US" w:eastAsia="zh-CN"/>
              </w:rPr>
              <w:t>25</w:t>
            </w:r>
          </w:p>
        </w:tc>
      </w:tr>
      <w:tr w14:paraId="6D01156A">
        <w:tblPrEx>
          <w:tblCellMar>
            <w:top w:w="0" w:type="dxa"/>
            <w:left w:w="108" w:type="dxa"/>
            <w:bottom w:w="0" w:type="dxa"/>
            <w:right w:w="108" w:type="dxa"/>
          </w:tblCellMar>
        </w:tblPrEx>
        <w:trPr>
          <w:trHeight w:val="1129" w:hRule="atLeast"/>
          <w:jc w:val="center"/>
        </w:trPr>
        <w:tc>
          <w:tcPr>
            <w:tcW w:w="2040" w:type="dxa"/>
            <w:tcBorders>
              <w:top w:val="single" w:color="auto" w:sz="4" w:space="0"/>
              <w:left w:val="single" w:color="auto" w:sz="4" w:space="0"/>
              <w:right w:val="single" w:color="auto" w:sz="4" w:space="0"/>
            </w:tcBorders>
            <w:shd w:val="clear" w:color="auto" w:fill="auto"/>
            <w:noWrap w:val="0"/>
            <w:vAlign w:val="center"/>
          </w:tcPr>
          <w:p w14:paraId="17D833EB">
            <w:pPr>
              <w:spacing w:before="156" w:beforeLines="50" w:after="156" w:afterLines="50"/>
              <w:jc w:val="center"/>
              <w:rPr>
                <w:rFonts w:hint="eastAsia" w:ascii="宋体" w:hAnsi="宋体" w:eastAsiaTheme="minorEastAsia" w:cstheme="minorBidi"/>
                <w:kern w:val="2"/>
                <w:sz w:val="21"/>
                <w:szCs w:val="21"/>
                <w:lang w:val="en-US" w:eastAsia="zh-CN" w:bidi="ar-SA"/>
              </w:rPr>
            </w:pPr>
            <w:r>
              <w:rPr>
                <w:rFonts w:hint="eastAsia" w:ascii="宋体" w:hAnsi="宋体"/>
                <w:szCs w:val="21"/>
                <w:lang w:val="en-US" w:eastAsia="zh-CN"/>
              </w:rPr>
              <w:t>综合服务</w:t>
            </w:r>
          </w:p>
        </w:tc>
        <w:tc>
          <w:tcPr>
            <w:tcW w:w="6716" w:type="dxa"/>
            <w:tcBorders>
              <w:top w:val="single" w:color="000000" w:sz="6" w:space="0"/>
              <w:left w:val="single" w:color="auto" w:sz="4" w:space="0"/>
              <w:bottom w:val="single" w:color="000000" w:sz="6" w:space="0"/>
              <w:right w:val="single" w:color="000000" w:sz="6" w:space="0"/>
            </w:tcBorders>
            <w:shd w:val="clear" w:color="auto" w:fill="auto"/>
            <w:noWrap w:val="0"/>
            <w:vAlign w:val="center"/>
          </w:tcPr>
          <w:p w14:paraId="1C1E6AA2">
            <w:pPr>
              <w:spacing w:before="156" w:beforeLines="50" w:after="156" w:afterLines="50"/>
              <w:jc w:val="left"/>
              <w:rPr>
                <w:rFonts w:hint="default" w:ascii="宋体" w:hAnsi="宋体" w:eastAsiaTheme="minorEastAsia" w:cstheme="minorBidi"/>
                <w:kern w:val="2"/>
                <w:sz w:val="21"/>
                <w:szCs w:val="21"/>
                <w:lang w:val="en-US" w:eastAsia="zh-CN" w:bidi="ar-SA"/>
              </w:rPr>
            </w:pPr>
            <w:r>
              <w:rPr>
                <w:rFonts w:hint="eastAsia" w:ascii="宋体" w:hAnsi="宋体"/>
                <w:szCs w:val="21"/>
                <w:lang w:val="en-US" w:eastAsia="zh-CN"/>
              </w:rPr>
              <w:t xml:space="preserve"> </w:t>
            </w:r>
            <w:r>
              <w:rPr>
                <w:rFonts w:ascii="宋体" w:hAnsi="宋体"/>
                <w:szCs w:val="21"/>
              </w:rPr>
              <w:t>由投标单位</w:t>
            </w:r>
            <w:r>
              <w:rPr>
                <w:rFonts w:ascii="宋体" w:hAnsi="宋体"/>
                <w:szCs w:val="21"/>
                <w:highlight w:val="none"/>
              </w:rPr>
              <w:t>提供说明自身实力情况</w:t>
            </w:r>
            <w:r>
              <w:rPr>
                <w:rFonts w:hint="eastAsia" w:ascii="宋体" w:hAnsi="宋体"/>
                <w:szCs w:val="21"/>
                <w:highlight w:val="none"/>
              </w:rPr>
              <w:t>实证</w:t>
            </w:r>
            <w:r>
              <w:rPr>
                <w:rFonts w:ascii="宋体" w:hAnsi="宋体"/>
                <w:szCs w:val="21"/>
                <w:highlight w:val="none"/>
              </w:rPr>
              <w:t>资料：品牌影响力、售后服务</w:t>
            </w:r>
            <w:r>
              <w:rPr>
                <w:rFonts w:hint="eastAsia" w:ascii="宋体" w:hAnsi="宋体"/>
                <w:szCs w:val="21"/>
                <w:highlight w:val="none"/>
                <w:lang w:val="en-US" w:eastAsia="zh-CN"/>
              </w:rPr>
              <w:t>每年3次及以上5分</w:t>
            </w:r>
            <w:r>
              <w:rPr>
                <w:rFonts w:hint="eastAsia" w:ascii="宋体" w:hAnsi="宋体"/>
                <w:szCs w:val="21"/>
                <w:highlight w:val="none"/>
                <w:lang w:eastAsia="zh-CN"/>
              </w:rPr>
              <w:t>、</w:t>
            </w:r>
            <w:r>
              <w:rPr>
                <w:rFonts w:hint="eastAsia" w:ascii="宋体" w:hAnsi="宋体"/>
                <w:szCs w:val="21"/>
                <w:highlight w:val="none"/>
                <w:lang w:val="en-US" w:eastAsia="zh-CN"/>
              </w:rPr>
              <w:t>达不到不得分.</w:t>
            </w:r>
            <w:r>
              <w:rPr>
                <w:rFonts w:hint="eastAsia" w:ascii="宋体" w:hAnsi="宋体"/>
                <w:szCs w:val="21"/>
                <w:lang w:val="en-US" w:eastAsia="zh-CN"/>
              </w:rPr>
              <w:t>安排第三方安全技术服务符合保额要求，服务人员为冶炼相关专业的高级工程师得5分，中级工程师得4分，助理工程师得2分。</w:t>
            </w:r>
          </w:p>
        </w:tc>
        <w:tc>
          <w:tcPr>
            <w:tcW w:w="1082" w:type="dxa"/>
            <w:tcBorders>
              <w:top w:val="single" w:color="000000" w:sz="6" w:space="0"/>
              <w:left w:val="single" w:color="000000" w:sz="6" w:space="0"/>
              <w:right w:val="single" w:color="000000" w:sz="2" w:space="0"/>
            </w:tcBorders>
            <w:shd w:val="clear" w:color="auto" w:fill="auto"/>
            <w:noWrap w:val="0"/>
            <w:vAlign w:val="center"/>
          </w:tcPr>
          <w:p w14:paraId="11F59B29">
            <w:pPr>
              <w:spacing w:before="156" w:beforeLines="50" w:after="156" w:afterLines="50"/>
              <w:jc w:val="center"/>
              <w:rPr>
                <w:rFonts w:hint="default" w:ascii="宋体" w:hAnsi="宋体" w:eastAsiaTheme="minorEastAsia" w:cstheme="minorBidi"/>
                <w:kern w:val="2"/>
                <w:sz w:val="21"/>
                <w:szCs w:val="21"/>
                <w:lang w:val="en-US" w:eastAsia="zh-CN" w:bidi="ar-SA"/>
              </w:rPr>
            </w:pPr>
            <w:r>
              <w:rPr>
                <w:rFonts w:hint="eastAsia" w:ascii="宋体" w:hAnsi="宋体"/>
                <w:szCs w:val="21"/>
                <w:lang w:val="en-US" w:eastAsia="zh-CN"/>
              </w:rPr>
              <w:t>10</w:t>
            </w:r>
          </w:p>
        </w:tc>
      </w:tr>
      <w:tr w14:paraId="4448226A">
        <w:tblPrEx>
          <w:tblCellMar>
            <w:top w:w="0" w:type="dxa"/>
            <w:left w:w="108" w:type="dxa"/>
            <w:bottom w:w="0" w:type="dxa"/>
            <w:right w:w="108" w:type="dxa"/>
          </w:tblCellMar>
        </w:tblPrEx>
        <w:trPr>
          <w:trHeight w:val="1129" w:hRule="atLeast"/>
          <w:jc w:val="center"/>
        </w:trPr>
        <w:tc>
          <w:tcPr>
            <w:tcW w:w="2040" w:type="dxa"/>
            <w:tcBorders>
              <w:top w:val="single" w:color="auto" w:sz="4" w:space="0"/>
              <w:left w:val="single" w:color="auto" w:sz="4" w:space="0"/>
              <w:right w:val="single" w:color="auto" w:sz="4" w:space="0"/>
            </w:tcBorders>
            <w:shd w:val="clear" w:color="auto" w:fill="auto"/>
            <w:noWrap w:val="0"/>
            <w:vAlign w:val="center"/>
          </w:tcPr>
          <w:p w14:paraId="1A7A4F01">
            <w:pPr>
              <w:spacing w:before="156" w:beforeLines="50" w:after="156" w:afterLines="50"/>
              <w:jc w:val="center"/>
              <w:rPr>
                <w:rFonts w:hint="eastAsia" w:ascii="宋体" w:hAnsi="宋体"/>
                <w:szCs w:val="21"/>
                <w:lang w:val="en-US" w:eastAsia="zh-CN"/>
              </w:rPr>
            </w:pPr>
            <w:r>
              <w:rPr>
                <w:rFonts w:hint="eastAsia" w:ascii="宋体" w:hAnsi="宋体"/>
                <w:szCs w:val="21"/>
                <w:lang w:val="en-US" w:eastAsia="zh-CN"/>
              </w:rPr>
              <w:t>偿付能力风险管理能力</w:t>
            </w:r>
          </w:p>
        </w:tc>
        <w:tc>
          <w:tcPr>
            <w:tcW w:w="6716" w:type="dxa"/>
            <w:tcBorders>
              <w:top w:val="single" w:color="000000" w:sz="6" w:space="0"/>
              <w:left w:val="single" w:color="auto" w:sz="4" w:space="0"/>
              <w:bottom w:val="single" w:color="000000" w:sz="6" w:space="0"/>
              <w:right w:val="single" w:color="000000" w:sz="6" w:space="0"/>
            </w:tcBorders>
            <w:shd w:val="clear" w:color="auto" w:fill="auto"/>
            <w:noWrap w:val="0"/>
            <w:vAlign w:val="center"/>
          </w:tcPr>
          <w:p w14:paraId="7BF57630">
            <w:pPr>
              <w:spacing w:before="156" w:beforeLines="50" w:after="156" w:afterLines="50"/>
              <w:jc w:val="left"/>
              <w:rPr>
                <w:rFonts w:hint="default" w:ascii="宋体" w:hAnsi="宋体"/>
                <w:szCs w:val="21"/>
                <w:lang w:val="en-US" w:eastAsia="zh-CN"/>
              </w:rPr>
            </w:pPr>
            <w:r>
              <w:rPr>
                <w:rFonts w:hint="eastAsia" w:ascii="宋体" w:hAnsi="宋体"/>
                <w:szCs w:val="21"/>
                <w:lang w:val="en-US" w:eastAsia="zh-CN"/>
              </w:rPr>
              <w:t>评估结果要求得分85分以上得5分，得分在80-85分得3分，,得分在75分以上80分及以下得2分，75分及以下不得分，最高5分。</w:t>
            </w:r>
          </w:p>
        </w:tc>
        <w:tc>
          <w:tcPr>
            <w:tcW w:w="1082" w:type="dxa"/>
            <w:tcBorders>
              <w:top w:val="single" w:color="000000" w:sz="6" w:space="0"/>
              <w:left w:val="single" w:color="000000" w:sz="6" w:space="0"/>
              <w:right w:val="single" w:color="000000" w:sz="2" w:space="0"/>
            </w:tcBorders>
            <w:shd w:val="clear" w:color="auto" w:fill="auto"/>
            <w:noWrap w:val="0"/>
            <w:vAlign w:val="center"/>
          </w:tcPr>
          <w:p w14:paraId="2A33722C">
            <w:pPr>
              <w:spacing w:before="156" w:beforeLines="50" w:after="156" w:afterLines="50"/>
              <w:jc w:val="center"/>
              <w:rPr>
                <w:rFonts w:hint="default" w:ascii="宋体" w:hAnsi="宋体"/>
                <w:szCs w:val="21"/>
                <w:lang w:val="en-US" w:eastAsia="zh-CN"/>
              </w:rPr>
            </w:pPr>
            <w:r>
              <w:rPr>
                <w:rFonts w:hint="eastAsia" w:ascii="宋体" w:hAnsi="宋体"/>
                <w:szCs w:val="21"/>
                <w:lang w:val="en-US" w:eastAsia="zh-CN"/>
              </w:rPr>
              <w:t>5</w:t>
            </w:r>
          </w:p>
        </w:tc>
      </w:tr>
      <w:tr w14:paraId="07E0CF79">
        <w:tblPrEx>
          <w:tblCellMar>
            <w:top w:w="0" w:type="dxa"/>
            <w:left w:w="108" w:type="dxa"/>
            <w:bottom w:w="0" w:type="dxa"/>
            <w:right w:w="108" w:type="dxa"/>
          </w:tblCellMar>
        </w:tblPrEx>
        <w:trPr>
          <w:trHeight w:val="1019" w:hRule="atLeast"/>
          <w:jc w:val="center"/>
        </w:trPr>
        <w:tc>
          <w:tcPr>
            <w:tcW w:w="2040" w:type="dxa"/>
            <w:tcBorders>
              <w:top w:val="single" w:color="auto" w:sz="4" w:space="0"/>
              <w:left w:val="single" w:color="auto" w:sz="4" w:space="0"/>
              <w:bottom w:val="single" w:color="auto" w:sz="4" w:space="0"/>
              <w:right w:val="single" w:color="auto" w:sz="4" w:space="0"/>
            </w:tcBorders>
            <w:noWrap w:val="0"/>
            <w:vAlign w:val="center"/>
          </w:tcPr>
          <w:p w14:paraId="3A256DBF">
            <w:pPr>
              <w:spacing w:before="156" w:beforeLines="50" w:after="156" w:afterLines="50"/>
              <w:jc w:val="center"/>
              <w:rPr>
                <w:rFonts w:hint="eastAsia" w:ascii="宋体" w:hAnsi="宋体"/>
                <w:szCs w:val="21"/>
              </w:rPr>
            </w:pPr>
            <w:r>
              <w:rPr>
                <w:rFonts w:hint="eastAsia" w:ascii="宋体" w:hAnsi="宋体"/>
                <w:szCs w:val="21"/>
              </w:rPr>
              <w:t>总分</w:t>
            </w:r>
          </w:p>
        </w:tc>
        <w:tc>
          <w:tcPr>
            <w:tcW w:w="6716" w:type="dxa"/>
            <w:tcBorders>
              <w:top w:val="single" w:color="000000" w:sz="6" w:space="0"/>
              <w:left w:val="single" w:color="auto" w:sz="4" w:space="0"/>
              <w:bottom w:val="single" w:color="000000" w:sz="6" w:space="0"/>
              <w:right w:val="single" w:color="000000" w:sz="6" w:space="0"/>
            </w:tcBorders>
            <w:noWrap w:val="0"/>
            <w:vAlign w:val="center"/>
          </w:tcPr>
          <w:p w14:paraId="6CCABF4C">
            <w:pPr>
              <w:spacing w:before="156" w:beforeLines="50" w:after="156" w:afterLines="50"/>
              <w:jc w:val="center"/>
              <w:rPr>
                <w:rFonts w:hint="eastAsia" w:ascii="宋体" w:hAnsi="宋体"/>
                <w:szCs w:val="21"/>
              </w:rPr>
            </w:pPr>
          </w:p>
        </w:tc>
        <w:tc>
          <w:tcPr>
            <w:tcW w:w="1082" w:type="dxa"/>
            <w:tcBorders>
              <w:top w:val="single" w:color="000000" w:sz="6" w:space="0"/>
              <w:left w:val="single" w:color="000000" w:sz="6" w:space="0"/>
              <w:bottom w:val="single" w:color="000000" w:sz="6" w:space="0"/>
              <w:right w:val="single" w:color="000000" w:sz="2" w:space="0"/>
            </w:tcBorders>
            <w:noWrap w:val="0"/>
            <w:vAlign w:val="center"/>
          </w:tcPr>
          <w:p w14:paraId="26339DFD">
            <w:pPr>
              <w:spacing w:before="156" w:beforeLines="50" w:after="156" w:afterLines="50"/>
              <w:jc w:val="center"/>
              <w:rPr>
                <w:rFonts w:ascii="宋体" w:hAnsi="宋体"/>
                <w:szCs w:val="21"/>
              </w:rPr>
            </w:pPr>
            <w:r>
              <w:rPr>
                <w:rFonts w:hint="eastAsia" w:ascii="宋体" w:hAnsi="宋体"/>
                <w:szCs w:val="21"/>
              </w:rPr>
              <w:t>100</w:t>
            </w:r>
          </w:p>
        </w:tc>
      </w:tr>
    </w:tbl>
    <w:p w14:paraId="6B625D15">
      <w:pPr>
        <w:pStyle w:val="12"/>
        <w:rPr>
          <w:rFonts w:hint="eastAsia" w:eastAsia="宋体" w:cstheme="minorBidi"/>
          <w:b/>
          <w:bCs/>
          <w:color w:val="FF0000"/>
          <w:kern w:val="2"/>
          <w:sz w:val="24"/>
          <w:szCs w:val="24"/>
          <w:lang w:val="en-US" w:eastAsia="zh-CN" w:bidi="ar-SA"/>
        </w:rPr>
      </w:pPr>
    </w:p>
    <w:p w14:paraId="04922E06">
      <w:pPr>
        <w:pStyle w:val="12"/>
        <w:rPr>
          <w:rFonts w:hint="eastAsia" w:eastAsia="宋体" w:cstheme="minorBidi"/>
          <w:b/>
          <w:bCs/>
          <w:color w:val="FF0000"/>
          <w:kern w:val="2"/>
          <w:sz w:val="24"/>
          <w:szCs w:val="24"/>
          <w:lang w:val="en-US" w:eastAsia="zh-CN" w:bidi="ar-SA"/>
        </w:rPr>
      </w:pPr>
    </w:p>
    <w:p w14:paraId="3527E12D">
      <w:pPr>
        <w:pStyle w:val="12"/>
        <w:rPr>
          <w:rFonts w:hint="eastAsia" w:eastAsia="宋体" w:cstheme="minorBidi"/>
          <w:b/>
          <w:bCs/>
          <w:color w:val="FF0000"/>
          <w:kern w:val="2"/>
          <w:sz w:val="24"/>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19883"/>
    <w:multiLevelType w:val="singleLevel"/>
    <w:tmpl w:val="13D19883"/>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yYTNjOGYyNWFhMjU4YjAxZmQ0NzQyMjA5MmZlOWIifQ=="/>
  </w:docVars>
  <w:rsids>
    <w:rsidRoot w:val="009F3E89"/>
    <w:rsid w:val="00166711"/>
    <w:rsid w:val="00180987"/>
    <w:rsid w:val="0019201B"/>
    <w:rsid w:val="00231A91"/>
    <w:rsid w:val="003160F0"/>
    <w:rsid w:val="003B5EC9"/>
    <w:rsid w:val="004D2C78"/>
    <w:rsid w:val="00617C8A"/>
    <w:rsid w:val="00683CB8"/>
    <w:rsid w:val="00861807"/>
    <w:rsid w:val="00872F4E"/>
    <w:rsid w:val="00880E03"/>
    <w:rsid w:val="008B635F"/>
    <w:rsid w:val="009441DF"/>
    <w:rsid w:val="009A252F"/>
    <w:rsid w:val="009F3E89"/>
    <w:rsid w:val="00A81864"/>
    <w:rsid w:val="00B86BF2"/>
    <w:rsid w:val="00B93B58"/>
    <w:rsid w:val="00CA56E3"/>
    <w:rsid w:val="00D01919"/>
    <w:rsid w:val="00DD4E16"/>
    <w:rsid w:val="00E639F4"/>
    <w:rsid w:val="00F21D19"/>
    <w:rsid w:val="00FD14B6"/>
    <w:rsid w:val="01B474A0"/>
    <w:rsid w:val="026F50F0"/>
    <w:rsid w:val="028866A5"/>
    <w:rsid w:val="02CF0C84"/>
    <w:rsid w:val="032F60A7"/>
    <w:rsid w:val="03C85CE0"/>
    <w:rsid w:val="04172C47"/>
    <w:rsid w:val="044E5325"/>
    <w:rsid w:val="04C43E8C"/>
    <w:rsid w:val="04D20224"/>
    <w:rsid w:val="04F675BA"/>
    <w:rsid w:val="060030E1"/>
    <w:rsid w:val="0626542B"/>
    <w:rsid w:val="06783B3F"/>
    <w:rsid w:val="06A164A2"/>
    <w:rsid w:val="07412822"/>
    <w:rsid w:val="080F3651"/>
    <w:rsid w:val="08275547"/>
    <w:rsid w:val="08C77B5F"/>
    <w:rsid w:val="08F82495"/>
    <w:rsid w:val="093418D7"/>
    <w:rsid w:val="09467B40"/>
    <w:rsid w:val="09491B6B"/>
    <w:rsid w:val="09BF3C20"/>
    <w:rsid w:val="0AA84893"/>
    <w:rsid w:val="0B260D10"/>
    <w:rsid w:val="0B920647"/>
    <w:rsid w:val="0C654A30"/>
    <w:rsid w:val="0CB867E8"/>
    <w:rsid w:val="0D9B1874"/>
    <w:rsid w:val="0EB80C89"/>
    <w:rsid w:val="0FBC2BF1"/>
    <w:rsid w:val="107734F9"/>
    <w:rsid w:val="11B96AF9"/>
    <w:rsid w:val="122D7E06"/>
    <w:rsid w:val="123551BA"/>
    <w:rsid w:val="1263364B"/>
    <w:rsid w:val="12807027"/>
    <w:rsid w:val="129E5470"/>
    <w:rsid w:val="12DE5921"/>
    <w:rsid w:val="12E46B81"/>
    <w:rsid w:val="12FD149B"/>
    <w:rsid w:val="13286E21"/>
    <w:rsid w:val="13733A99"/>
    <w:rsid w:val="13E47FCE"/>
    <w:rsid w:val="1420138F"/>
    <w:rsid w:val="15C16202"/>
    <w:rsid w:val="15C71B43"/>
    <w:rsid w:val="182535C1"/>
    <w:rsid w:val="183970CA"/>
    <w:rsid w:val="188C1E40"/>
    <w:rsid w:val="19485649"/>
    <w:rsid w:val="19A80707"/>
    <w:rsid w:val="19B81D16"/>
    <w:rsid w:val="1A923CAD"/>
    <w:rsid w:val="1AFD6DFF"/>
    <w:rsid w:val="1BA310C9"/>
    <w:rsid w:val="1BA65C58"/>
    <w:rsid w:val="1BBA328B"/>
    <w:rsid w:val="1BE17825"/>
    <w:rsid w:val="1CFD7497"/>
    <w:rsid w:val="1D3B45BB"/>
    <w:rsid w:val="1D3C24C6"/>
    <w:rsid w:val="1E70230C"/>
    <w:rsid w:val="1F06105D"/>
    <w:rsid w:val="1F201061"/>
    <w:rsid w:val="1F230ED7"/>
    <w:rsid w:val="1F25058C"/>
    <w:rsid w:val="1F8F4E05"/>
    <w:rsid w:val="200D0648"/>
    <w:rsid w:val="20153B80"/>
    <w:rsid w:val="20ED5675"/>
    <w:rsid w:val="22C21D6F"/>
    <w:rsid w:val="22D63A5C"/>
    <w:rsid w:val="22DE31EB"/>
    <w:rsid w:val="23125D23"/>
    <w:rsid w:val="231B74CA"/>
    <w:rsid w:val="235933F9"/>
    <w:rsid w:val="238208B5"/>
    <w:rsid w:val="24F208BA"/>
    <w:rsid w:val="254F4A7E"/>
    <w:rsid w:val="25B61F3B"/>
    <w:rsid w:val="25D54C15"/>
    <w:rsid w:val="26F30137"/>
    <w:rsid w:val="272564AF"/>
    <w:rsid w:val="27BC5451"/>
    <w:rsid w:val="284E2C13"/>
    <w:rsid w:val="287F75B2"/>
    <w:rsid w:val="28930B49"/>
    <w:rsid w:val="29C22275"/>
    <w:rsid w:val="29C35780"/>
    <w:rsid w:val="29E54426"/>
    <w:rsid w:val="2B2261A7"/>
    <w:rsid w:val="2B3F4A95"/>
    <w:rsid w:val="2B751D48"/>
    <w:rsid w:val="2C785F42"/>
    <w:rsid w:val="2C827EDA"/>
    <w:rsid w:val="2D393044"/>
    <w:rsid w:val="2D4C29E9"/>
    <w:rsid w:val="2DE027A0"/>
    <w:rsid w:val="2E143AF8"/>
    <w:rsid w:val="2F327941"/>
    <w:rsid w:val="2F6E2B76"/>
    <w:rsid w:val="30B11C7D"/>
    <w:rsid w:val="30B926BE"/>
    <w:rsid w:val="30DA261B"/>
    <w:rsid w:val="31626593"/>
    <w:rsid w:val="31D8590B"/>
    <w:rsid w:val="31F6424B"/>
    <w:rsid w:val="31F6652C"/>
    <w:rsid w:val="32100D0D"/>
    <w:rsid w:val="3354777D"/>
    <w:rsid w:val="33E44080"/>
    <w:rsid w:val="33FD1E15"/>
    <w:rsid w:val="34222C8D"/>
    <w:rsid w:val="343D3F8B"/>
    <w:rsid w:val="356B1656"/>
    <w:rsid w:val="357B0AE7"/>
    <w:rsid w:val="35BF0AE8"/>
    <w:rsid w:val="36512641"/>
    <w:rsid w:val="36820E08"/>
    <w:rsid w:val="36A90715"/>
    <w:rsid w:val="36C21BE7"/>
    <w:rsid w:val="37257C3F"/>
    <w:rsid w:val="37664E5E"/>
    <w:rsid w:val="37693626"/>
    <w:rsid w:val="37904CE2"/>
    <w:rsid w:val="37F13EA6"/>
    <w:rsid w:val="382E05F6"/>
    <w:rsid w:val="39111683"/>
    <w:rsid w:val="3980735D"/>
    <w:rsid w:val="39AA4601"/>
    <w:rsid w:val="39D65D97"/>
    <w:rsid w:val="3A513F90"/>
    <w:rsid w:val="3AA01091"/>
    <w:rsid w:val="3AD75728"/>
    <w:rsid w:val="3AFF6E91"/>
    <w:rsid w:val="3B877CAE"/>
    <w:rsid w:val="3BE97CAD"/>
    <w:rsid w:val="3DA26638"/>
    <w:rsid w:val="3DAD5EB7"/>
    <w:rsid w:val="3DDD50C8"/>
    <w:rsid w:val="3E18578C"/>
    <w:rsid w:val="3EE32A43"/>
    <w:rsid w:val="3EEA30B0"/>
    <w:rsid w:val="3F065DE8"/>
    <w:rsid w:val="3F456888"/>
    <w:rsid w:val="3F55299A"/>
    <w:rsid w:val="3FA403F5"/>
    <w:rsid w:val="3FB1364F"/>
    <w:rsid w:val="403979CD"/>
    <w:rsid w:val="40937565"/>
    <w:rsid w:val="41B30E89"/>
    <w:rsid w:val="423B0109"/>
    <w:rsid w:val="42B032BD"/>
    <w:rsid w:val="42D07BFE"/>
    <w:rsid w:val="43B31B08"/>
    <w:rsid w:val="43BF5C4C"/>
    <w:rsid w:val="453A7906"/>
    <w:rsid w:val="459B2ED2"/>
    <w:rsid w:val="469234AE"/>
    <w:rsid w:val="46946DB7"/>
    <w:rsid w:val="46C87DE1"/>
    <w:rsid w:val="47117B3C"/>
    <w:rsid w:val="47AB545A"/>
    <w:rsid w:val="47B02837"/>
    <w:rsid w:val="48CA55A6"/>
    <w:rsid w:val="48D11B79"/>
    <w:rsid w:val="491E4CAA"/>
    <w:rsid w:val="49443229"/>
    <w:rsid w:val="49917845"/>
    <w:rsid w:val="49B05687"/>
    <w:rsid w:val="49C815E0"/>
    <w:rsid w:val="4A5F1C86"/>
    <w:rsid w:val="4ACE10DA"/>
    <w:rsid w:val="4B6941D5"/>
    <w:rsid w:val="4BAE52DF"/>
    <w:rsid w:val="4C8E55E7"/>
    <w:rsid w:val="4C9909AF"/>
    <w:rsid w:val="4D31677E"/>
    <w:rsid w:val="4D4813AF"/>
    <w:rsid w:val="4DA665F6"/>
    <w:rsid w:val="4E01446B"/>
    <w:rsid w:val="4E5A47B0"/>
    <w:rsid w:val="4E8735ED"/>
    <w:rsid w:val="4FB71F9B"/>
    <w:rsid w:val="50F935C6"/>
    <w:rsid w:val="51762A39"/>
    <w:rsid w:val="518C739F"/>
    <w:rsid w:val="51A21015"/>
    <w:rsid w:val="51D53D22"/>
    <w:rsid w:val="520F7330"/>
    <w:rsid w:val="52456973"/>
    <w:rsid w:val="53221715"/>
    <w:rsid w:val="5331542A"/>
    <w:rsid w:val="53A25268"/>
    <w:rsid w:val="54093EBA"/>
    <w:rsid w:val="5423334B"/>
    <w:rsid w:val="550A7227"/>
    <w:rsid w:val="557E7886"/>
    <w:rsid w:val="558E5BC8"/>
    <w:rsid w:val="55980167"/>
    <w:rsid w:val="56A56CF6"/>
    <w:rsid w:val="56D83884"/>
    <w:rsid w:val="57487E39"/>
    <w:rsid w:val="575D0ECD"/>
    <w:rsid w:val="57925E76"/>
    <w:rsid w:val="579C2B8F"/>
    <w:rsid w:val="57B4543E"/>
    <w:rsid w:val="582666BF"/>
    <w:rsid w:val="583149BF"/>
    <w:rsid w:val="5864126C"/>
    <w:rsid w:val="59560F60"/>
    <w:rsid w:val="5A1E30ED"/>
    <w:rsid w:val="5B2A73EF"/>
    <w:rsid w:val="5C2848F6"/>
    <w:rsid w:val="5C79251A"/>
    <w:rsid w:val="5C7B0E1F"/>
    <w:rsid w:val="5CC9154D"/>
    <w:rsid w:val="5CDF79EE"/>
    <w:rsid w:val="5D066BDD"/>
    <w:rsid w:val="5D0937F7"/>
    <w:rsid w:val="5D110769"/>
    <w:rsid w:val="5D802890"/>
    <w:rsid w:val="5E442B0A"/>
    <w:rsid w:val="5E5A089A"/>
    <w:rsid w:val="5EDA49D4"/>
    <w:rsid w:val="5EFE0113"/>
    <w:rsid w:val="5F2D7BC0"/>
    <w:rsid w:val="5F51287E"/>
    <w:rsid w:val="5F5365AA"/>
    <w:rsid w:val="60C1629C"/>
    <w:rsid w:val="60D902FD"/>
    <w:rsid w:val="612C0D03"/>
    <w:rsid w:val="61B46F4D"/>
    <w:rsid w:val="61D22944"/>
    <w:rsid w:val="61FC1FDF"/>
    <w:rsid w:val="622D232D"/>
    <w:rsid w:val="63126681"/>
    <w:rsid w:val="63B50CB3"/>
    <w:rsid w:val="63D94E1B"/>
    <w:rsid w:val="642F3ECD"/>
    <w:rsid w:val="65181CD5"/>
    <w:rsid w:val="65E73EF3"/>
    <w:rsid w:val="65F202F2"/>
    <w:rsid w:val="66DC1248"/>
    <w:rsid w:val="6728300F"/>
    <w:rsid w:val="67592EDD"/>
    <w:rsid w:val="6888527F"/>
    <w:rsid w:val="69594684"/>
    <w:rsid w:val="69635D03"/>
    <w:rsid w:val="697E2D14"/>
    <w:rsid w:val="697F3FF1"/>
    <w:rsid w:val="69F20ED0"/>
    <w:rsid w:val="6A391AC4"/>
    <w:rsid w:val="6AB8570D"/>
    <w:rsid w:val="6B3B3A92"/>
    <w:rsid w:val="6B5A5139"/>
    <w:rsid w:val="6B5F5198"/>
    <w:rsid w:val="6BEC758F"/>
    <w:rsid w:val="6BFB7C84"/>
    <w:rsid w:val="6D151A83"/>
    <w:rsid w:val="6D27406B"/>
    <w:rsid w:val="6D3F552F"/>
    <w:rsid w:val="6E0C5E68"/>
    <w:rsid w:val="6EBD7053"/>
    <w:rsid w:val="6F490737"/>
    <w:rsid w:val="6F4B1E02"/>
    <w:rsid w:val="6F59695C"/>
    <w:rsid w:val="6F795BB0"/>
    <w:rsid w:val="702C46E0"/>
    <w:rsid w:val="70375F0B"/>
    <w:rsid w:val="707010D7"/>
    <w:rsid w:val="707E7A24"/>
    <w:rsid w:val="713A5EEC"/>
    <w:rsid w:val="71497983"/>
    <w:rsid w:val="720F1AD2"/>
    <w:rsid w:val="730771DD"/>
    <w:rsid w:val="73152B9F"/>
    <w:rsid w:val="73331156"/>
    <w:rsid w:val="745C712F"/>
    <w:rsid w:val="74FA5AAF"/>
    <w:rsid w:val="75775BAA"/>
    <w:rsid w:val="759E3D8F"/>
    <w:rsid w:val="75A734CD"/>
    <w:rsid w:val="76305026"/>
    <w:rsid w:val="76534D25"/>
    <w:rsid w:val="7688642E"/>
    <w:rsid w:val="76DD6402"/>
    <w:rsid w:val="77074898"/>
    <w:rsid w:val="786170B2"/>
    <w:rsid w:val="7AB4254B"/>
    <w:rsid w:val="7B074FF3"/>
    <w:rsid w:val="7B2372DC"/>
    <w:rsid w:val="7C805FDC"/>
    <w:rsid w:val="7CAC7EBF"/>
    <w:rsid w:val="7D0225C4"/>
    <w:rsid w:val="7D1748C2"/>
    <w:rsid w:val="7D380AEB"/>
    <w:rsid w:val="7D45585A"/>
    <w:rsid w:val="7DDA57A5"/>
    <w:rsid w:val="7EC87E8B"/>
    <w:rsid w:val="7FEC37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autoRedefine/>
    <w:qFormat/>
    <w:uiPriority w:val="0"/>
    <w:pPr>
      <w:wordWrap w:val="0"/>
      <w:spacing w:after="160"/>
      <w:jc w:val="both"/>
      <w:outlineLvl w:val="1"/>
    </w:pPr>
    <w:rPr>
      <w:sz w:val="21"/>
      <w:lang w:val="en-US" w:eastAsia="zh-CN" w:bidi="ar-SA"/>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style>
  <w:style w:type="paragraph" w:customStyle="1" w:styleId="3">
    <w:name w:val="Default"/>
    <w:autoRedefine/>
    <w:qFormat/>
    <w:uiPriority w:val="0"/>
    <w:pPr>
      <w:widowControl w:val="0"/>
      <w:autoSpaceDE w:val="0"/>
      <w:autoSpaceDN w:val="0"/>
      <w:adjustRightInd w:val="0"/>
    </w:pPr>
    <w:rPr>
      <w:rFonts w:ascii="黑体" w:hAnsi="Calibri" w:eastAsia="黑体" w:cs="Times New Roman"/>
      <w:sz w:val="21"/>
      <w:szCs w:val="22"/>
      <w:lang w:val="en-US" w:eastAsia="zh-CN" w:bidi="ar-SA"/>
    </w:rPr>
  </w:style>
  <w:style w:type="paragraph" w:styleId="5">
    <w:name w:val="Normal Indent"/>
    <w:basedOn w:val="1"/>
    <w:autoRedefine/>
    <w:qFormat/>
    <w:uiPriority w:val="0"/>
    <w:pPr>
      <w:adjustRightInd w:val="0"/>
      <w:ind w:firstLine="420"/>
      <w:jc w:val="left"/>
    </w:pPr>
    <w:rPr>
      <w:rFonts w:ascii="Tahoma" w:hAnsi="Tahoma" w:eastAsia="楷体_GB2312" w:cs="Times New Roman"/>
      <w:sz w:val="24"/>
      <w:szCs w:val="24"/>
    </w:rPr>
  </w:style>
  <w:style w:type="paragraph" w:styleId="6">
    <w:name w:val="Date"/>
    <w:basedOn w:val="1"/>
    <w:next w:val="1"/>
    <w:autoRedefine/>
    <w:qFormat/>
    <w:uiPriority w:val="0"/>
    <w:pPr>
      <w:ind w:left="100" w:leftChars="2500"/>
    </w:pPr>
    <w:rPr>
      <w:rFonts w:ascii="宋体" w:hAnsi="宋体" w:eastAsia="Wingdings"/>
      <w:color w:val="000000"/>
      <w:kern w:val="0"/>
      <w:sz w:val="24"/>
      <w:szCs w:val="20"/>
    </w:rPr>
  </w:style>
  <w:style w:type="paragraph" w:styleId="7">
    <w:name w:val="footer"/>
    <w:basedOn w:val="1"/>
    <w:link w:val="15"/>
    <w:autoRedefine/>
    <w:semiHidden/>
    <w:unhideWhenUsed/>
    <w:qFormat/>
    <w:uiPriority w:val="99"/>
    <w:pPr>
      <w:tabs>
        <w:tab w:val="center" w:pos="4153"/>
        <w:tab w:val="right" w:pos="8306"/>
      </w:tabs>
      <w:snapToGrid w:val="0"/>
      <w:jc w:val="left"/>
    </w:pPr>
    <w:rPr>
      <w:sz w:val="18"/>
      <w:szCs w:val="18"/>
    </w:rPr>
  </w:style>
  <w:style w:type="paragraph" w:styleId="8">
    <w:name w:val="header"/>
    <w:basedOn w:val="1"/>
    <w:link w:val="14"/>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w:basedOn w:val="2"/>
    <w:next w:val="4"/>
    <w:autoRedefine/>
    <w:qFormat/>
    <w:uiPriority w:val="0"/>
    <w:pPr>
      <w:ind w:firstLine="420" w:firstLineChars="100"/>
    </w:pPr>
  </w:style>
  <w:style w:type="paragraph" w:customStyle="1" w:styleId="12">
    <w:name w:val="首行缩进"/>
    <w:basedOn w:val="1"/>
    <w:autoRedefine/>
    <w:qFormat/>
    <w:uiPriority w:val="0"/>
    <w:pPr>
      <w:spacing w:line="360" w:lineRule="auto"/>
      <w:ind w:firstLine="480" w:firstLineChars="200"/>
      <w:jc w:val="left"/>
    </w:pPr>
    <w:rPr>
      <w:rFonts w:ascii="宋体" w:hAnsi="宋体"/>
      <w:sz w:val="24"/>
    </w:rPr>
  </w:style>
  <w:style w:type="paragraph" w:styleId="13">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4">
    <w:name w:val="页眉 Char"/>
    <w:basedOn w:val="11"/>
    <w:link w:val="8"/>
    <w:autoRedefine/>
    <w:semiHidden/>
    <w:qFormat/>
    <w:uiPriority w:val="99"/>
    <w:rPr>
      <w:sz w:val="18"/>
      <w:szCs w:val="18"/>
    </w:rPr>
  </w:style>
  <w:style w:type="character" w:customStyle="1" w:styleId="15">
    <w:name w:val="页脚 Char"/>
    <w:basedOn w:val="11"/>
    <w:link w:val="7"/>
    <w:autoRedefine/>
    <w:semiHidden/>
    <w:qFormat/>
    <w:uiPriority w:val="99"/>
    <w:rPr>
      <w:sz w:val="18"/>
      <w:szCs w:val="18"/>
    </w:rPr>
  </w:style>
  <w:style w:type="paragraph" w:customStyle="1" w:styleId="16">
    <w:name w:val="四级标题"/>
    <w:basedOn w:val="6"/>
    <w:autoRedefine/>
    <w:qFormat/>
    <w:uiPriority w:val="0"/>
    <w:rPr>
      <w:rFonts w:eastAsia="黑体"/>
      <w:szCs w:val="22"/>
    </w:rPr>
  </w:style>
  <w:style w:type="character" w:customStyle="1" w:styleId="17">
    <w:name w:val="font21"/>
    <w:basedOn w:val="11"/>
    <w:qFormat/>
    <w:uiPriority w:val="0"/>
    <w:rPr>
      <w:rFonts w:ascii="Calibri" w:hAnsi="Calibri" w:cs="Calibri"/>
      <w:color w:val="000000"/>
      <w:sz w:val="21"/>
      <w:szCs w:val="21"/>
      <w:u w:val="none"/>
    </w:rPr>
  </w:style>
  <w:style w:type="character" w:customStyle="1" w:styleId="18">
    <w:name w:val="font11"/>
    <w:basedOn w:val="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3</Pages>
  <Words>1102</Words>
  <Characters>1258</Characters>
  <Lines>4</Lines>
  <Paragraphs>1</Paragraphs>
  <TotalTime>12</TotalTime>
  <ScaleCrop>false</ScaleCrop>
  <LinksUpToDate>false</LinksUpToDate>
  <CharactersWithSpaces>1301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2022-11-10T07:48:00Z</dcterms:created>
  <dc:creator>zhangjx</dc:creator>
  <cp:lastModifiedBy>houyz</cp:lastModifiedBy>
  <cp:lastPrinted>2026-03-10T07:33:00Z</cp:lastPrinted>
  <dcterms:modified xsi:type="dcterms:W3CDTF">2026-03-27T07:05:49Z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690BEF8503CA449A8D0D566AFCB50684_13</vt:lpwstr>
  </property>
  <property fmtid="{D5CDD505-2E9C-101B-9397-08002B2CF9AE}" pid="4" name="KSOTemplateDocerSaveRecord">
    <vt:lpwstr>eyJoZGlkIjoiMTRmYzA0ZjFkNGFiODM3ZTk4ODMzZWU1YjNjZTNkOTUiLCJ1c2VySWQiOiIyODYxNDcyMjAifQ==</vt:lpwstr>
  </property>
</Properties>
</file>