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16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4" w:firstLineChars="4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PC电解不锈钢阴极板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板面维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修竞价公告</w:t>
      </w:r>
    </w:p>
    <w:p w14:paraId="3B3F6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竞价编号：LHTY20260611-01</w:t>
      </w:r>
    </w:p>
    <w:p w14:paraId="4C7BF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发布日期：2026年6月11日</w:t>
      </w:r>
    </w:p>
    <w:p w14:paraId="1238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甲方：张家港联合铜业有限公司    乙方：阴极板维修方</w:t>
      </w:r>
    </w:p>
    <w:p w14:paraId="5EF9D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、数量</w:t>
      </w:r>
    </w:p>
    <w:p w14:paraId="6DC1932E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PC电解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不锈钢</w:t>
      </w:r>
      <w:r>
        <w:rPr>
          <w:rFonts w:hint="eastAsia" w:ascii="宋体" w:hAnsi="宋体" w:eastAsia="宋体" w:cs="宋体"/>
          <w:sz w:val="24"/>
          <w:szCs w:val="24"/>
        </w:rPr>
        <w:t>阴极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</w:t>
      </w:r>
      <w:r>
        <w:rPr>
          <w:rFonts w:hint="eastAsia" w:ascii="宋体" w:hAnsi="宋体" w:cs="宋体"/>
          <w:sz w:val="24"/>
          <w:szCs w:val="24"/>
          <w:lang w:eastAsia="zh-CN"/>
        </w:rPr>
        <w:t>，维修数量为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12000片，其中11000片为正常瓢板乙方安排人员至甲方现场进行修复，1000片弯曲严重需要返回乙方进行动火加热校正，以上均为预估数量，最终按实际结算）。</w:t>
      </w:r>
    </w:p>
    <w:p w14:paraId="0C5A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使用工况条件</w:t>
      </w:r>
    </w:p>
    <w:p w14:paraId="4E91BCF6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环境：空气潮湿，带有酸性腐蚀性气体，室内温度-5～50℃</w:t>
      </w:r>
    </w:p>
    <w:p w14:paraId="2733C917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电解液成分：Cu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2+</w:t>
      </w:r>
      <w:r>
        <w:rPr>
          <w:rFonts w:hint="eastAsia" w:ascii="宋体" w:hAnsi="宋体" w:eastAsia="宋体" w:cs="宋体"/>
          <w:sz w:val="24"/>
          <w:szCs w:val="24"/>
        </w:rPr>
        <w:t>：40～50g/l,H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SO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：170～210g/l,Cl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≤0.08g/l；</w:t>
      </w:r>
    </w:p>
    <w:p w14:paraId="2713C8C8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电解液温度：50～70℃；</w:t>
      </w:r>
    </w:p>
    <w:p w14:paraId="52FFF43D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电流密度：200～380 A/m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8A60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产品描述</w:t>
      </w:r>
    </w:p>
    <w:p w14:paraId="7014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对不锈钢阴极板进行板面修复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（修复完毕后必须打钢印）</w:t>
      </w:r>
      <w:r>
        <w:rPr>
          <w:rFonts w:hint="eastAsia" w:ascii="宋体" w:hAnsi="宋体" w:eastAsia="宋体" w:cs="宋体"/>
          <w:sz w:val="24"/>
          <w:szCs w:val="24"/>
        </w:rPr>
        <w:t>，包括但不限于以下内容：</w:t>
      </w:r>
    </w:p>
    <w:p w14:paraId="2B7C160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对不锈钢阴极板面进行平整、修复、打磨抛光</w:t>
      </w:r>
      <w:r>
        <w:rPr>
          <w:rFonts w:hint="eastAsia" w:ascii="宋体" w:hAnsi="宋体" w:cs="宋体"/>
          <w:sz w:val="24"/>
          <w:szCs w:val="24"/>
          <w:lang w:eastAsia="zh-CN"/>
        </w:rPr>
        <w:t>，导电棒变形修复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，夹边条拆卸、安装。</w:t>
      </w:r>
    </w:p>
    <w:p w14:paraId="448A5C7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维修前，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认真拆卸夹边条，维修</w:t>
      </w:r>
      <w:r>
        <w:rPr>
          <w:rFonts w:hint="eastAsia" w:ascii="宋体" w:hAnsi="宋体" w:cs="宋体"/>
          <w:sz w:val="24"/>
          <w:szCs w:val="24"/>
          <w:lang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</w:rPr>
        <w:t>后，再安装好夹边条（含黄胶带）。夹边条和黄胶带由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提供。</w:t>
      </w:r>
    </w:p>
    <w:p w14:paraId="1D4A1C6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、不锈钢阴极板板面修复，每天甲方提供数量约50-80片。</w:t>
      </w:r>
    </w:p>
    <w:p w14:paraId="1E32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4、维修方式</w:t>
      </w:r>
    </w:p>
    <w:p w14:paraId="7D1B7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lang w:eastAsia="zh-CN"/>
        </w:rPr>
        <w:t>甲方依</w:t>
      </w:r>
      <w:r>
        <w:rPr>
          <w:rFonts w:hint="eastAsia" w:ascii="宋体" w:hAnsi="宋体" w:eastAsia="宋体" w:cs="宋体"/>
          <w:sz w:val="24"/>
          <w:szCs w:val="24"/>
        </w:rPr>
        <w:t>生产情况挑选阴极板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进行板面及导电棒整形，用铅垂、激光红外线水平仪对平整后的阴极板进行检测，阴极板上下偏差不超过5mm，整形后的板面平整度、悬垂度都需满足工艺使用要求：板面平整度≤±5mm，板面悬垂度≤±5mm，导电棒直线度≤±1mm。</w:t>
      </w:r>
    </w:p>
    <w:p w14:paraId="0900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对阴极板表面用120目砂纸或0#铁砂布打磨机进行打磨抛光处理，板面无擦痕或划痕，且保证正常生产中无阴极铜自然脱落现象，并且剥离性能好。</w:t>
      </w:r>
    </w:p>
    <w:p w14:paraId="6AA1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4.3、</w:t>
      </w:r>
      <w:r>
        <w:rPr>
          <w:rFonts w:hint="eastAsia" w:ascii="宋体" w:hAnsi="宋体" w:eastAsia="宋体" w:cs="宋体"/>
          <w:sz w:val="24"/>
          <w:szCs w:val="24"/>
        </w:rPr>
        <w:t>需在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方现场维修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现场无法修复的变形阴极板瓢板，返回乙方现场进行动火加热、校正、打磨，乙方负责来回运输，运输过程中如产生丢失或损坏，乙方照价赔偿。</w:t>
      </w:r>
    </w:p>
    <w:p w14:paraId="2D5B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5、出厂保证金</w:t>
      </w:r>
    </w:p>
    <w:p w14:paraId="2B998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需要返回乙方修复的阴极板，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乙方需提供按实际运出数量*1500元/块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阴极</w:t>
      </w:r>
      <w:r>
        <w:rPr>
          <w:rFonts w:hint="default" w:ascii="宋体" w:hAnsi="宋体" w:cs="宋体"/>
          <w:sz w:val="24"/>
          <w:szCs w:val="24"/>
          <w:lang w:val="en-US" w:eastAsia="zh-CN"/>
        </w:rPr>
        <w:t>板计算的相应价值的银行保函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default" w:ascii="宋体" w:hAnsi="宋体" w:cs="宋体"/>
          <w:sz w:val="24"/>
          <w:szCs w:val="24"/>
          <w:lang w:val="en-US" w:eastAsia="zh-CN"/>
        </w:rPr>
        <w:t>阴极板返回甲方现场，数量无误后，银行保函原路退回。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此条乙方需在报价中响应，未响应视为无效标。</w:t>
      </w:r>
    </w:p>
    <w:p w14:paraId="0E0A2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质保期</w:t>
      </w:r>
    </w:p>
    <w:p w14:paraId="5424C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从用户验收合格起开始计算质量保证期，质保期不低于12个月（含12个月）。在质量保证期内，在正常工况下适用，发生一切与修复阴极板有关的质量事故，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除负责免费维修和更换外，应承担相应的法律责任和经济损失。因产品质量出现问题时，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应在接到用户通知后及时赶到现场处理（响应时间：24小时）。</w:t>
      </w:r>
    </w:p>
    <w:p w14:paraId="79C1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验收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方式</w:t>
      </w:r>
    </w:p>
    <w:p w14:paraId="2AB10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甲方对乙方所修复的每块阴极板进行验收，含外观验收：夹边条安装、黄胶带安装、板面打磨，板面平整度，导电棒平整度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等。</w:t>
      </w:r>
    </w:p>
    <w:p w14:paraId="2F1B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、报价</w:t>
      </w:r>
      <w:bookmarkStart w:id="0" w:name="_GoBack"/>
      <w:bookmarkEnd w:id="0"/>
    </w:p>
    <w:p w14:paraId="5774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lang w:eastAsia="zh-CN"/>
        </w:rPr>
        <w:t>乙方报价需含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13%增值税，如不能开具应注明实开税率。</w:t>
      </w:r>
    </w:p>
    <w:p w14:paraId="5AB7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8.2、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乙方报价时，提供进厂人员的社保缴纳证明，其中应包含一名安全员的社保证明，安全员仅负责现场监管，未提供的视为无效标。</w:t>
      </w:r>
    </w:p>
    <w:p w14:paraId="250B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8.3、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本次为全包总价，为便于结算，乙方报价单注明：板面检修xx元/片，返厂动火校正xx元/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片，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yellow"/>
          <w:lang w:val="en-US" w:eastAsia="zh-CN"/>
        </w:rPr>
        <w:t>报价单合计总价最低者为中标单位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402D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、付款方式</w:t>
      </w:r>
    </w:p>
    <w:p w14:paraId="0320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每修复完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2000片</w:t>
      </w:r>
      <w:r>
        <w:rPr>
          <w:rFonts w:hint="eastAsia" w:ascii="宋体" w:hAnsi="宋体" w:eastAsia="宋体" w:cs="宋体"/>
          <w:sz w:val="24"/>
          <w:szCs w:val="24"/>
        </w:rPr>
        <w:t>阴极板验收一次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验收合格后支付当批次维修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费</w:t>
      </w:r>
      <w:r>
        <w:rPr>
          <w:rFonts w:hint="eastAsia" w:ascii="宋体" w:hAnsi="宋体" w:eastAsia="宋体" w:cs="宋体"/>
          <w:sz w:val="24"/>
          <w:szCs w:val="24"/>
        </w:rPr>
        <w:t>的97%，余款3%为质保金，质保一年。</w:t>
      </w:r>
    </w:p>
    <w:p w14:paraId="417F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、过程监管</w:t>
      </w:r>
    </w:p>
    <w:p w14:paraId="384E3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、在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施工过程</w:t>
      </w:r>
      <w:r>
        <w:rPr>
          <w:rFonts w:hint="eastAsia" w:ascii="宋体" w:hAnsi="宋体" w:eastAsia="宋体" w:cs="宋体"/>
          <w:sz w:val="24"/>
          <w:szCs w:val="24"/>
        </w:rPr>
        <w:t>中，甲方派人在现场进行监督。</w:t>
      </w:r>
    </w:p>
    <w:p w14:paraId="185ED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</w:rPr>
        <w:t>、乙方施工过程中存在违章作业等情况，甲方有权要求乙方整改停工。</w:t>
      </w:r>
    </w:p>
    <w:p w14:paraId="281C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.3</w:t>
      </w:r>
      <w:r>
        <w:rPr>
          <w:rFonts w:hint="eastAsia" w:ascii="宋体" w:hAnsi="宋体" w:eastAsia="宋体" w:cs="宋体"/>
          <w:sz w:val="24"/>
          <w:szCs w:val="24"/>
        </w:rPr>
        <w:t>、乙方如在施工过程中对其他设备造成损坏，乙方免费修复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E6B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施工安全措施：乙方进场人员应配齐相应的劳保用品，进场前乙方到甲方安环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基础</w:t>
      </w:r>
      <w:r>
        <w:rPr>
          <w:rFonts w:hint="eastAsia" w:ascii="宋体" w:hAnsi="宋体" w:eastAsia="宋体" w:cs="宋体"/>
          <w:sz w:val="24"/>
          <w:szCs w:val="24"/>
        </w:rPr>
        <w:t>部接受安全教育并签订安全管理、施工协议书，需要进行特种作业的应提供相关证件，并在安环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基础</w:t>
      </w:r>
      <w:r>
        <w:rPr>
          <w:rFonts w:hint="eastAsia" w:ascii="宋体" w:hAnsi="宋体" w:eastAsia="宋体" w:cs="宋体"/>
          <w:sz w:val="24"/>
          <w:szCs w:val="24"/>
        </w:rPr>
        <w:t>部进行报备，缴纳合同5%安全风险押金，违反《张家港联合铜业有限公司外协队伍安全管理办法》（按最新版执行），按该办法内容进行处罚，安全施工结束且双方无争议后押金退还，施工期间施工工作范围内安全工作由乙方负责，如发生工伤及其他伤亡事故，由乙方自行解决和赔偿，与甲方无涉。</w:t>
      </w:r>
    </w:p>
    <w:p w14:paraId="08925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11、报价截止时间</w:t>
      </w:r>
    </w:p>
    <w:p w14:paraId="28F4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2026年6月18日9时，逾期送达或未送达指定地点的报价文件不予受理。</w:t>
      </w:r>
    </w:p>
    <w:p w14:paraId="3D8F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12、报价文件接收单位及相关联系人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4AF0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文件提交地址：张家港市锦丰镇三兴街道2202号，张家港联合铜业有限公司党群综合部；邮编：215624 </w:t>
      </w:r>
    </w:p>
    <w:p w14:paraId="5037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接收时间：投标截止日期前每天上午8：00至11：30，13：30至16：30，节假日除外。</w:t>
      </w:r>
    </w:p>
    <w:p w14:paraId="3CAC8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投标联系人：侯燕州（0512-58533069）</w:t>
      </w:r>
    </w:p>
    <w:p w14:paraId="06831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业务咨询联系人：铜工场 程卓（13773230925）</w:t>
      </w:r>
    </w:p>
    <w:p w14:paraId="0EE6F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yellow"/>
        </w:rPr>
        <w:t>注：所有的投标材料只接收快递邮寄的形式，且快递包装外注明竞价项目名称及编号。不接收私人上门送达投标材料，否则将被视为无效报价。</w:t>
      </w:r>
    </w:p>
    <w:p w14:paraId="6E7E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51C7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附件、附图：</w:t>
      </w:r>
    </w:p>
    <w:p w14:paraId="5B19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2"/>
        </w:rPr>
      </w:pPr>
      <w:r>
        <w:rPr>
          <w:sz w:val="20"/>
          <w:szCs w:val="22"/>
        </w:rPr>
        <w:drawing>
          <wp:inline distT="0" distB="0" distL="114300" distR="114300">
            <wp:extent cx="8602980" cy="5349875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02980" cy="53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53725"/>
    <w:rsid w:val="1C751E21"/>
    <w:rsid w:val="231A3A40"/>
    <w:rsid w:val="346C0792"/>
    <w:rsid w:val="3F350D83"/>
    <w:rsid w:val="530A4CDE"/>
    <w:rsid w:val="5EF60BF0"/>
    <w:rsid w:val="62D87551"/>
    <w:rsid w:val="6D15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1676</Words>
  <Characters>1856</Characters>
  <Lines>0</Lines>
  <Paragraphs>0</Paragraphs>
  <TotalTime>1</TotalTime>
  <ScaleCrop>false</ScaleCrop>
  <LinksUpToDate>false</LinksUpToDate>
  <CharactersWithSpaces>1868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2026-06-05T08:00:00Z</dcterms:created>
  <dc:creator>那一瞬1398677443</dc:creator>
  <cp:lastModifiedBy>houyz</cp:lastModifiedBy>
  <dcterms:modified xsi:type="dcterms:W3CDTF">2026-06-11T00:36:52Z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1B147324823A47F0B19A4F4435864408_11</vt:lpwstr>
  </property>
  <property fmtid="{D5CDD505-2E9C-101B-9397-08002B2CF9AE}" pid="4" name="KSOTemplateDocerSaveRecord">
    <vt:lpwstr>eyJoZGlkIjoiOGI4ZGNkZTBiNjMzYTY2OTdmZjcwNzZmMjBjZWIwNGUiLCJ1c2VySWQiOiIyODYxNDcyMjAifQ==</vt:lpwstr>
  </property>
</Properties>
</file>