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F867">
      <w:pPr>
        <w:spacing w:after="156" w:afterLines="50"/>
        <w:jc w:val="center"/>
        <w:rPr>
          <w:rFonts w:hint="eastAsia"/>
          <w:b/>
          <w:sz w:val="36"/>
          <w:szCs w:val="36"/>
        </w:rPr>
      </w:pPr>
      <w:r>
        <w:rPr>
          <w:rFonts w:hint="eastAsia"/>
          <w:b/>
          <w:sz w:val="36"/>
          <w:szCs w:val="36"/>
        </w:rPr>
        <w:t>阴极铜ROHS和REACH检测竞价公告</w:t>
      </w:r>
    </w:p>
    <w:p w14:paraId="690DA788">
      <w:pPr>
        <w:pStyle w:val="2"/>
        <w:jc w:val="center"/>
        <w:rPr>
          <w:rFonts w:hint="default" w:eastAsiaTheme="minorEastAsia"/>
          <w:lang w:val="en-US" w:eastAsia="zh-CN"/>
        </w:rPr>
      </w:pPr>
      <w:r>
        <w:rPr>
          <w:rFonts w:hint="eastAsia"/>
          <w:b/>
          <w:sz w:val="36"/>
          <w:szCs w:val="36"/>
          <w:lang w:val="en-US" w:eastAsia="zh-CN"/>
        </w:rPr>
        <w:t>二次挂网</w:t>
      </w:r>
    </w:p>
    <w:p w14:paraId="1102BCA1">
      <w:pPr>
        <w:spacing w:after="156" w:afterLines="50"/>
        <w:rPr>
          <w:sz w:val="24"/>
          <w:highlight w:val="none"/>
        </w:rPr>
      </w:pPr>
      <w:r>
        <w:rPr>
          <w:rFonts w:hint="eastAsia"/>
          <w:sz w:val="24"/>
          <w:highlight w:val="none"/>
        </w:rPr>
        <w:t>竞价时间：2026年</w:t>
      </w:r>
      <w:r>
        <w:rPr>
          <w:rFonts w:hint="eastAsia"/>
          <w:sz w:val="24"/>
          <w:highlight w:val="none"/>
          <w:lang w:val="en-US" w:eastAsia="zh-CN"/>
        </w:rPr>
        <w:t>6</w:t>
      </w:r>
      <w:r>
        <w:rPr>
          <w:rFonts w:hint="eastAsia"/>
          <w:sz w:val="24"/>
          <w:highlight w:val="none"/>
        </w:rPr>
        <w:t xml:space="preserve"> 月</w:t>
      </w:r>
      <w:r>
        <w:rPr>
          <w:rFonts w:hint="eastAsia"/>
          <w:sz w:val="24"/>
          <w:highlight w:val="none"/>
          <w:lang w:val="en-US" w:eastAsia="zh-CN"/>
        </w:rPr>
        <w:t>12</w:t>
      </w:r>
      <w:r>
        <w:rPr>
          <w:rFonts w:hint="eastAsia"/>
          <w:sz w:val="24"/>
          <w:highlight w:val="none"/>
        </w:rPr>
        <w:t>日</w:t>
      </w:r>
    </w:p>
    <w:p w14:paraId="772E766D">
      <w:pPr>
        <w:spacing w:after="156" w:afterLines="50"/>
        <w:rPr>
          <w:rFonts w:hint="default" w:eastAsiaTheme="minorEastAsia"/>
          <w:sz w:val="24"/>
          <w:highlight w:val="none"/>
          <w:lang w:val="en-US" w:eastAsia="zh-CN"/>
        </w:rPr>
      </w:pPr>
      <w:r>
        <w:rPr>
          <w:rFonts w:hint="eastAsia"/>
          <w:sz w:val="24"/>
          <w:highlight w:val="none"/>
        </w:rPr>
        <w:t>竞价编号： LHTY-202</w:t>
      </w:r>
      <w:r>
        <w:rPr>
          <w:rFonts w:hint="eastAsia"/>
          <w:sz w:val="24"/>
          <w:highlight w:val="none"/>
          <w:lang w:val="en-US" w:eastAsia="zh-CN"/>
        </w:rPr>
        <w:t>60605-02</w:t>
      </w:r>
    </w:p>
    <w:p w14:paraId="49E6EC2A">
      <w:pPr>
        <w:spacing w:after="156" w:afterLines="50"/>
        <w:rPr>
          <w:sz w:val="24"/>
          <w:highlight w:val="none"/>
        </w:rPr>
      </w:pPr>
      <w:r>
        <w:rPr>
          <w:rFonts w:hint="eastAsia"/>
          <w:sz w:val="24"/>
          <w:highlight w:val="none"/>
        </w:rPr>
        <w:t>竞价人：张家港联合铜业有限公司</w:t>
      </w:r>
    </w:p>
    <w:p w14:paraId="446EBBED">
      <w:pPr>
        <w:rPr>
          <w:sz w:val="24"/>
          <w:highlight w:val="none"/>
        </w:rPr>
      </w:pPr>
      <w:r>
        <w:rPr>
          <w:rFonts w:hint="eastAsia"/>
          <w:sz w:val="24"/>
          <w:highlight w:val="none"/>
        </w:rPr>
        <w:t>【重要声明】</w:t>
      </w:r>
    </w:p>
    <w:p w14:paraId="648041A5">
      <w:pPr>
        <w:rPr>
          <w:sz w:val="24"/>
        </w:rPr>
      </w:pPr>
      <w:r>
        <w:rPr>
          <w:rFonts w:hint="eastAsia"/>
          <w:sz w:val="24"/>
        </w:rPr>
        <w:t>1、公开竞价是铜陵有色集团为规范自主采购管理，推进阳光操作而采取的公开竞争性采购方式，仅适用于企业日常生产经营性物资以及不具备招标条件的部分物资、服务采购。</w:t>
      </w:r>
    </w:p>
    <w:p w14:paraId="3F4377DC">
      <w:pPr>
        <w:rPr>
          <w:sz w:val="24"/>
        </w:rPr>
      </w:pPr>
      <w:r>
        <w:rPr>
          <w:rFonts w:hint="eastAsia"/>
          <w:sz w:val="24"/>
        </w:rPr>
        <w:t>2、竞价开标在集团公司相关部门监督下进行，竞价投标人可到现场观摩开标过程并接受答疑。</w:t>
      </w:r>
    </w:p>
    <w:p w14:paraId="551B0AE8">
      <w:pPr>
        <w:rPr>
          <w:sz w:val="24"/>
        </w:rPr>
      </w:pPr>
      <w:r>
        <w:rPr>
          <w:rFonts w:hint="eastAsia"/>
          <w:sz w:val="24"/>
        </w:rPr>
        <w:t>3、中标结果仅直接通知到竞价中标人，不再另行发布中标公告。对中标结果有异议的竞价投标人可向投标受理人提出书面申请，查询原始资料和评审结果，充分尊重竞价投标人的知情权。</w:t>
      </w:r>
    </w:p>
    <w:p w14:paraId="25B79821">
      <w:pPr>
        <w:rPr>
          <w:sz w:val="24"/>
        </w:rPr>
      </w:pPr>
      <w:r>
        <w:rPr>
          <w:rFonts w:hint="eastAsia"/>
          <w:sz w:val="24"/>
        </w:rPr>
        <w:t>4、投标人中标后应及时签订并履行合同；若违约，按《铜冠物资公司失信供应商管理处罚细则（试行）》处理。</w:t>
      </w:r>
    </w:p>
    <w:p w14:paraId="3EEEE41C">
      <w:pPr>
        <w:rPr>
          <w:sz w:val="24"/>
        </w:rPr>
      </w:pPr>
      <w:r>
        <w:rPr>
          <w:rFonts w:hint="eastAsia"/>
          <w:sz w:val="24"/>
        </w:rPr>
        <w:t>5、需要收取履约保证金的，中标人应在收到中标通知五个工作日内，按照规定交纳履约保证金。无正当理由不交纳的，将列入铜陵有色金属集团公司失信行为供应商名单，按相关规定予以处理。</w:t>
      </w:r>
    </w:p>
    <w:p w14:paraId="524E9321">
      <w:pPr>
        <w:spacing w:before="156" w:beforeLines="50" w:after="156" w:afterLines="50"/>
        <w:rPr>
          <w:b/>
          <w:sz w:val="24"/>
        </w:rPr>
      </w:pPr>
      <w:r>
        <w:rPr>
          <w:rFonts w:hint="eastAsia"/>
          <w:b/>
          <w:sz w:val="24"/>
        </w:rPr>
        <w:t>一、竞价内容</w:t>
      </w:r>
    </w:p>
    <w:p w14:paraId="210E2E33">
      <w:pPr>
        <w:spacing w:after="156" w:afterLines="50"/>
        <w:rPr>
          <w:sz w:val="24"/>
        </w:rPr>
      </w:pPr>
      <w:r>
        <w:rPr>
          <w:rFonts w:hint="eastAsia"/>
          <w:sz w:val="24"/>
        </w:rPr>
        <w:t>1、张家港联合铜业有限公司因经营需要，委托第三方检测机构对其产品阴极铜进行ROHS和REACH检测，并出具ROHS和REACH检测报告。</w:t>
      </w:r>
    </w:p>
    <w:p w14:paraId="3FC6C351">
      <w:pPr>
        <w:spacing w:after="156" w:afterLines="50"/>
        <w:rPr>
          <w:sz w:val="24"/>
        </w:rPr>
      </w:pPr>
      <w:r>
        <w:rPr>
          <w:rFonts w:hint="eastAsia"/>
          <w:sz w:val="24"/>
        </w:rPr>
        <w:t>2、阴极铜ROHS检测项目为4项：镉、铅、汞、六价铬。</w:t>
      </w:r>
    </w:p>
    <w:p w14:paraId="48F81788">
      <w:pPr>
        <w:spacing w:after="156" w:afterLines="50"/>
        <w:rPr>
          <w:sz w:val="24"/>
        </w:rPr>
      </w:pPr>
      <w:r>
        <w:rPr>
          <w:rFonts w:hint="eastAsia"/>
          <w:sz w:val="24"/>
        </w:rPr>
        <w:t>3、阴极铜REACH检测项目约为73项（具体数量和检测项目以最新欧盟REACH法规中的高关注物质(SVHC)候选清单为准）。</w:t>
      </w:r>
    </w:p>
    <w:p w14:paraId="2DCF6579">
      <w:pPr>
        <w:spacing w:after="156" w:afterLines="50"/>
        <w:rPr>
          <w:sz w:val="24"/>
        </w:rPr>
      </w:pPr>
      <w:r>
        <w:rPr>
          <w:rFonts w:hint="eastAsia"/>
          <w:sz w:val="24"/>
        </w:rPr>
        <w:t>4、中标方需在2026、2027年两年间为委托方提供每年一次的阴极铜ROHS和REACH检测委托服务并出具检测报告。</w:t>
      </w:r>
    </w:p>
    <w:p w14:paraId="0BD2E898">
      <w:pPr>
        <w:spacing w:after="156" w:afterLines="50"/>
        <w:rPr>
          <w:sz w:val="24"/>
        </w:rPr>
      </w:pPr>
      <w:r>
        <w:rPr>
          <w:rFonts w:hint="eastAsia"/>
          <w:sz w:val="24"/>
        </w:rPr>
        <w:t>5、样品数量：1份/年</w:t>
      </w:r>
    </w:p>
    <w:p w14:paraId="422E1902">
      <w:pPr>
        <w:spacing w:after="156" w:afterLines="50"/>
        <w:rPr>
          <w:rFonts w:hint="eastAsia"/>
          <w:sz w:val="24"/>
        </w:rPr>
      </w:pPr>
      <w:r>
        <w:rPr>
          <w:rFonts w:hint="eastAsia"/>
          <w:sz w:val="24"/>
        </w:rPr>
        <w:t>6、本次竞价以最低价中标原则确定中标方，确定中标方后双方签订委托检测协议，委托检测协议中标方盖章单位要与投标时单位一致。</w:t>
      </w:r>
    </w:p>
    <w:p w14:paraId="109FB8AF">
      <w:pPr>
        <w:spacing w:after="156" w:afterLines="50"/>
        <w:rPr>
          <w:sz w:val="24"/>
        </w:rPr>
      </w:pPr>
      <w:r>
        <w:rPr>
          <w:rFonts w:hint="eastAsia"/>
          <w:sz w:val="24"/>
        </w:rPr>
        <w:t>7、张家港联合铜业有限公司将符合检测要求的阴极铜样品寄往中标方进行化验，中标方收到样品后，需最迟在7个工作日内完成检测并出具报告。</w:t>
      </w:r>
    </w:p>
    <w:p w14:paraId="7B7AB218">
      <w:pPr>
        <w:spacing w:after="156" w:afterLines="50"/>
        <w:rPr>
          <w:b/>
          <w:sz w:val="24"/>
        </w:rPr>
      </w:pPr>
      <w:r>
        <w:rPr>
          <w:rFonts w:hint="eastAsia"/>
          <w:b/>
          <w:sz w:val="24"/>
        </w:rPr>
        <w:t>二、相关要求</w:t>
      </w:r>
      <w:r>
        <w:rPr>
          <w:b/>
          <w:sz w:val="24"/>
        </w:rPr>
        <w:tab/>
      </w:r>
    </w:p>
    <w:p w14:paraId="630E997B">
      <w:pPr>
        <w:spacing w:after="156" w:afterLines="50"/>
        <w:rPr>
          <w:sz w:val="24"/>
        </w:rPr>
      </w:pPr>
      <w:r>
        <w:rPr>
          <w:rFonts w:hint="eastAsia"/>
          <w:sz w:val="24"/>
        </w:rPr>
        <w:t>1、投标方需为</w:t>
      </w:r>
      <w:r>
        <w:rPr>
          <w:sz w:val="24"/>
        </w:rPr>
        <w:t>具有CMA和CNAS资质</w:t>
      </w:r>
      <w:r>
        <w:rPr>
          <w:rFonts w:hint="eastAsia"/>
          <w:sz w:val="24"/>
        </w:rPr>
        <w:t>的检验机构。</w:t>
      </w:r>
    </w:p>
    <w:p w14:paraId="7DC3B2AE">
      <w:pPr>
        <w:spacing w:after="156" w:afterLines="50"/>
        <w:rPr>
          <w:sz w:val="24"/>
        </w:rPr>
      </w:pPr>
      <w:r>
        <w:rPr>
          <w:rFonts w:hint="eastAsia"/>
          <w:sz w:val="24"/>
        </w:rPr>
        <w:t>2、投标方需具备阴极铜ROHS和REACH的检测能力。</w:t>
      </w:r>
    </w:p>
    <w:p w14:paraId="5CE93059">
      <w:pPr>
        <w:spacing w:after="156" w:afterLines="50"/>
        <w:rPr>
          <w:sz w:val="24"/>
        </w:rPr>
      </w:pPr>
      <w:r>
        <w:rPr>
          <w:rFonts w:hint="eastAsia"/>
          <w:sz w:val="24"/>
        </w:rPr>
        <w:t>3、投标方提交报价函时需提供营业执照和相应资质证明材料。</w:t>
      </w:r>
    </w:p>
    <w:p w14:paraId="6A92D695">
      <w:pPr>
        <w:spacing w:after="156" w:afterLines="50"/>
        <w:rPr>
          <w:sz w:val="24"/>
        </w:rPr>
      </w:pPr>
      <w:r>
        <w:rPr>
          <w:rFonts w:hint="eastAsia"/>
          <w:sz w:val="24"/>
        </w:rPr>
        <w:t>4、报价时仅需列出一年的ROHS和REACH检测的总价，报价含税金，并注明实际开具税率。</w:t>
      </w:r>
    </w:p>
    <w:p w14:paraId="600D2131">
      <w:pPr>
        <w:spacing w:after="156" w:afterLines="50"/>
        <w:rPr>
          <w:b/>
          <w:sz w:val="24"/>
        </w:rPr>
      </w:pPr>
      <w:r>
        <w:rPr>
          <w:rFonts w:hint="eastAsia"/>
          <w:b/>
          <w:sz w:val="24"/>
        </w:rPr>
        <w:t>三、投标说明</w:t>
      </w:r>
    </w:p>
    <w:p w14:paraId="4DA0F56E">
      <w:pPr>
        <w:spacing w:after="156" w:afterLines="50"/>
        <w:rPr>
          <w:sz w:val="24"/>
        </w:rPr>
      </w:pPr>
      <w:r>
        <w:rPr>
          <w:rFonts w:hint="eastAsia"/>
          <w:sz w:val="24"/>
        </w:rPr>
        <w:t>1、投标方投标时须提交有效的营业执照、相关资质证明文件，以上文件的复印件（加盖公司印章）一套，委托他人代理的要授权委托书一份等。</w:t>
      </w:r>
    </w:p>
    <w:p w14:paraId="5A214DE7">
      <w:pPr>
        <w:spacing w:after="156" w:afterLines="50"/>
        <w:rPr>
          <w:sz w:val="24"/>
        </w:rPr>
      </w:pPr>
      <w:r>
        <w:rPr>
          <w:rFonts w:hint="eastAsia"/>
          <w:sz w:val="24"/>
        </w:rPr>
        <w:t>2、投标方务必将报价文件进行密封，并在外面注明参与报价的项目名称及投标方公司名称，在报价截止时间之前邮寄或送达指定地点，逾期送达或未送达指定地点的不予受理。</w:t>
      </w:r>
    </w:p>
    <w:p w14:paraId="22C011BB">
      <w:pPr>
        <w:spacing w:after="156" w:afterLines="50"/>
        <w:rPr>
          <w:b/>
          <w:sz w:val="24"/>
        </w:rPr>
      </w:pPr>
      <w:r>
        <w:rPr>
          <w:rFonts w:hint="eastAsia"/>
          <w:b/>
          <w:sz w:val="24"/>
        </w:rPr>
        <w:t>四．付款方式：</w:t>
      </w:r>
    </w:p>
    <w:p w14:paraId="4A1CE589">
      <w:pPr>
        <w:spacing w:after="156" w:afterLines="50"/>
        <w:ind w:firstLine="480" w:firstLineChars="200"/>
        <w:rPr>
          <w:sz w:val="24"/>
        </w:rPr>
      </w:pPr>
      <w:r>
        <w:rPr>
          <w:rFonts w:hint="eastAsia"/>
          <w:sz w:val="24"/>
        </w:rPr>
        <w:t>本项目无预付款，按年度进行结算，凭中标方开具的增值税发票</w:t>
      </w:r>
      <w:r>
        <w:rPr>
          <w:rFonts w:hint="eastAsia"/>
          <w:b/>
          <w:sz w:val="24"/>
        </w:rPr>
        <w:t>（注：发票中的销售方信息中的名称必须与投标单位名称一致）付款</w:t>
      </w:r>
      <w:r>
        <w:rPr>
          <w:rFonts w:hint="eastAsia"/>
          <w:sz w:val="24"/>
        </w:rPr>
        <w:t>，开票资料如下：</w:t>
      </w:r>
    </w:p>
    <w:p w14:paraId="0D6EA824">
      <w:pPr>
        <w:spacing w:after="156" w:afterLines="50"/>
        <w:ind w:left="567" w:leftChars="270"/>
        <w:rPr>
          <w:sz w:val="24"/>
        </w:rPr>
      </w:pPr>
      <w:r>
        <w:rPr>
          <w:rFonts w:hint="eastAsia"/>
          <w:sz w:val="24"/>
        </w:rPr>
        <w:t>单位名称：张家港联合铜业有限公司</w:t>
      </w:r>
    </w:p>
    <w:p w14:paraId="2F24A6F5">
      <w:pPr>
        <w:spacing w:after="156" w:afterLines="50"/>
        <w:ind w:left="567" w:leftChars="270"/>
        <w:rPr>
          <w:sz w:val="24"/>
        </w:rPr>
      </w:pPr>
      <w:r>
        <w:rPr>
          <w:rFonts w:hint="eastAsia"/>
          <w:sz w:val="24"/>
        </w:rPr>
        <w:t>纳税人识别号：913205826082600890</w:t>
      </w:r>
    </w:p>
    <w:p w14:paraId="047C20EE">
      <w:pPr>
        <w:spacing w:after="156" w:afterLines="50"/>
        <w:ind w:left="567" w:leftChars="270"/>
        <w:rPr>
          <w:sz w:val="24"/>
        </w:rPr>
      </w:pPr>
      <w:r>
        <w:rPr>
          <w:rFonts w:hint="eastAsia"/>
          <w:sz w:val="24"/>
        </w:rPr>
        <w:t>地址、电话：张家港市锦丰镇三兴雁行头 0512-58574101</w:t>
      </w:r>
    </w:p>
    <w:p w14:paraId="0C5FF733">
      <w:pPr>
        <w:spacing w:after="156" w:afterLines="50"/>
        <w:ind w:left="567" w:leftChars="270"/>
        <w:rPr>
          <w:rFonts w:hint="eastAsia"/>
          <w:sz w:val="24"/>
        </w:rPr>
      </w:pPr>
      <w:r>
        <w:rPr>
          <w:rFonts w:hint="eastAsia"/>
          <w:sz w:val="24"/>
        </w:rPr>
        <w:t>开户行及账号：中国银行张家港锦丰支行 524858195658</w:t>
      </w:r>
    </w:p>
    <w:p w14:paraId="1E2D2CA6">
      <w:pPr>
        <w:spacing w:after="156" w:afterLines="50"/>
        <w:rPr>
          <w:rFonts w:hint="eastAsia"/>
          <w:b/>
          <w:sz w:val="24"/>
          <w:lang w:val="en-US" w:eastAsia="zh-CN"/>
        </w:rPr>
      </w:pPr>
      <w:r>
        <w:rPr>
          <w:rFonts w:hint="eastAsia"/>
          <w:b/>
          <w:sz w:val="24"/>
          <w:lang w:val="en-US" w:eastAsia="zh-CN"/>
        </w:rPr>
        <w:t>五、中标人确定</w:t>
      </w:r>
    </w:p>
    <w:p w14:paraId="0E51E285">
      <w:pPr>
        <w:spacing w:after="156" w:afterLines="50"/>
        <w:ind w:firstLine="480" w:firstLineChars="200"/>
        <w:rPr>
          <w:rFonts w:hint="eastAsia"/>
          <w:sz w:val="24"/>
          <w:lang w:val="en-US" w:eastAsia="zh-CN"/>
        </w:rPr>
      </w:pPr>
      <w:r>
        <w:rPr>
          <w:rFonts w:hint="eastAsia"/>
          <w:sz w:val="24"/>
          <w:lang w:val="en-US" w:eastAsia="zh-CN"/>
        </w:rPr>
        <w:t>以符合竞价文件要求的最低投标价确定为中标人</w:t>
      </w:r>
    </w:p>
    <w:p w14:paraId="66A08501">
      <w:pPr>
        <w:spacing w:after="156" w:afterLines="50"/>
        <w:rPr>
          <w:b/>
          <w:sz w:val="24"/>
        </w:rPr>
      </w:pPr>
      <w:r>
        <w:rPr>
          <w:rFonts w:hint="eastAsia"/>
          <w:b/>
          <w:sz w:val="24"/>
          <w:lang w:val="en-US" w:eastAsia="zh-CN"/>
        </w:rPr>
        <w:t>六</w:t>
      </w:r>
      <w:r>
        <w:rPr>
          <w:rFonts w:hint="eastAsia"/>
          <w:b/>
          <w:sz w:val="24"/>
        </w:rPr>
        <w:t>、报价截止日期</w:t>
      </w:r>
    </w:p>
    <w:p w14:paraId="2E216F63">
      <w:pPr>
        <w:spacing w:after="156" w:afterLines="50"/>
        <w:ind w:firstLine="480" w:firstLineChars="200"/>
        <w:rPr>
          <w:sz w:val="24"/>
        </w:rPr>
      </w:pPr>
      <w:r>
        <w:rPr>
          <w:rFonts w:hint="eastAsia"/>
          <w:sz w:val="24"/>
          <w:highlight w:val="yellow"/>
        </w:rPr>
        <w:t>2026年</w:t>
      </w:r>
      <w:r>
        <w:rPr>
          <w:rFonts w:hint="eastAsia"/>
          <w:sz w:val="24"/>
          <w:highlight w:val="yellow"/>
          <w:lang w:val="en-US" w:eastAsia="zh-CN"/>
        </w:rPr>
        <w:t>6</w:t>
      </w:r>
      <w:r>
        <w:rPr>
          <w:rFonts w:hint="eastAsia"/>
          <w:sz w:val="24"/>
          <w:highlight w:val="yellow"/>
        </w:rPr>
        <w:t>月</w:t>
      </w:r>
      <w:r>
        <w:rPr>
          <w:rFonts w:hint="eastAsia"/>
          <w:sz w:val="24"/>
          <w:highlight w:val="yellow"/>
          <w:lang w:val="en-US" w:eastAsia="zh-CN"/>
        </w:rPr>
        <w:t>19</w:t>
      </w:r>
      <w:r>
        <w:rPr>
          <w:rFonts w:hint="eastAsia"/>
          <w:sz w:val="24"/>
          <w:highlight w:val="yellow"/>
        </w:rPr>
        <w:t>日9:00时</w:t>
      </w:r>
      <w:r>
        <w:rPr>
          <w:rFonts w:hint="eastAsia"/>
          <w:sz w:val="24"/>
        </w:rPr>
        <w:t>，逾期送达或未送达指定地点的报价文件不予受理。</w:t>
      </w:r>
    </w:p>
    <w:p w14:paraId="2CD704D8">
      <w:pPr>
        <w:spacing w:after="156" w:afterLines="50"/>
        <w:rPr>
          <w:b/>
          <w:sz w:val="24"/>
        </w:rPr>
      </w:pPr>
      <w:r>
        <w:rPr>
          <w:rFonts w:hint="eastAsia"/>
          <w:b/>
          <w:sz w:val="24"/>
          <w:lang w:val="en-US" w:eastAsia="zh-CN"/>
        </w:rPr>
        <w:t>七</w:t>
      </w:r>
      <w:r>
        <w:rPr>
          <w:rFonts w:hint="eastAsia"/>
          <w:b/>
          <w:sz w:val="24"/>
        </w:rPr>
        <w:t>、报价文件接收单位及联系人：</w:t>
      </w:r>
    </w:p>
    <w:p w14:paraId="7EB12895">
      <w:pPr>
        <w:spacing w:after="156" w:afterLines="50"/>
        <w:rPr>
          <w:sz w:val="24"/>
        </w:rPr>
      </w:pPr>
      <w:r>
        <w:rPr>
          <w:rFonts w:hint="eastAsia"/>
          <w:sz w:val="24"/>
        </w:rPr>
        <w:t>文件提交地址：张家港市锦丰镇三兴街道2202号，张家港联合铜业有限公司党群综合部</w:t>
      </w:r>
    </w:p>
    <w:p w14:paraId="7F5493B7">
      <w:pPr>
        <w:spacing w:after="156" w:afterLines="50"/>
        <w:rPr>
          <w:sz w:val="24"/>
        </w:rPr>
      </w:pPr>
      <w:r>
        <w:rPr>
          <w:rFonts w:hint="eastAsia"/>
          <w:sz w:val="24"/>
        </w:rPr>
        <w:t>邮编：215624</w:t>
      </w:r>
    </w:p>
    <w:p w14:paraId="468DBCB7">
      <w:pPr>
        <w:spacing w:after="156" w:afterLines="50"/>
        <w:rPr>
          <w:sz w:val="24"/>
        </w:rPr>
      </w:pPr>
      <w:r>
        <w:rPr>
          <w:rFonts w:hint="eastAsia"/>
          <w:sz w:val="24"/>
        </w:rPr>
        <w:t>接收时间：投标截止日期前每天上午8：00至11：30，13：30至16：30，节假日除外。</w:t>
      </w:r>
    </w:p>
    <w:p w14:paraId="34829E8C">
      <w:pPr>
        <w:spacing w:after="156" w:afterLines="50"/>
        <w:rPr>
          <w:rFonts w:hint="default" w:eastAsiaTheme="minorEastAsia"/>
          <w:sz w:val="24"/>
          <w:lang w:val="en-US" w:eastAsia="zh-CN"/>
        </w:rPr>
      </w:pPr>
      <w:r>
        <w:rPr>
          <w:rFonts w:hint="eastAsia"/>
          <w:sz w:val="24"/>
        </w:rPr>
        <w:t>投标联系人：侯燕州    联系电话：</w:t>
      </w:r>
      <w:r>
        <w:rPr>
          <w:rFonts w:hint="eastAsia"/>
          <w:sz w:val="24"/>
          <w:lang w:val="en-US" w:eastAsia="zh-CN"/>
        </w:rPr>
        <w:t>0512-58533069</w:t>
      </w:r>
    </w:p>
    <w:p w14:paraId="261CE1A3">
      <w:pPr>
        <w:spacing w:after="156" w:afterLines="50"/>
        <w:rPr>
          <w:sz w:val="24"/>
        </w:rPr>
      </w:pPr>
      <w:r>
        <w:rPr>
          <w:rFonts w:hint="eastAsia"/>
          <w:sz w:val="24"/>
        </w:rPr>
        <w:t>业务咨询人：骆有健    联系电话：0512-58579331</w:t>
      </w:r>
    </w:p>
    <w:p w14:paraId="23DB1B3A">
      <w:pPr>
        <w:pStyle w:val="2"/>
        <w:rPr>
          <w:rFonts w:hint="eastAsia" w:ascii="仿宋" w:hAnsi="仿宋" w:eastAsia="仿宋" w:cs="仿宋"/>
          <w:b/>
          <w:bCs/>
          <w:color w:val="FF0000"/>
          <w:sz w:val="28"/>
          <w:szCs w:val="24"/>
          <w:highlight w:val="yellow"/>
        </w:rPr>
      </w:pPr>
      <w:r>
        <w:rPr>
          <w:rFonts w:hint="eastAsia" w:ascii="仿宋" w:hAnsi="仿宋" w:eastAsia="仿宋" w:cs="仿宋"/>
          <w:b/>
          <w:bCs/>
          <w:color w:val="FF0000"/>
          <w:sz w:val="28"/>
          <w:szCs w:val="24"/>
          <w:highlight w:val="yellow"/>
        </w:rPr>
        <w:t>注：所有的投标材料只接收快递邮寄的形式，且快递包装外注明竞价项目名称及编号。不接收私人上门送达投标材料，否则将被视为无效报价。</w:t>
      </w:r>
    </w:p>
    <w:p w14:paraId="146CCC4D">
      <w:pPr>
        <w:spacing w:after="156" w:afterLines="50"/>
        <w:rPr>
          <w:b/>
          <w:bCs/>
        </w:rPr>
      </w:pPr>
    </w:p>
    <w:p w14:paraId="47A8F6A4">
      <w:pPr>
        <w:spacing w:after="156" w:afterLines="50"/>
        <w:rPr>
          <w:b/>
          <w:bCs/>
        </w:rPr>
      </w:pPr>
    </w:p>
    <w:p w14:paraId="49940B90">
      <w:pPr>
        <w:spacing w:after="156" w:afterLines="50"/>
      </w:pPr>
      <w:bookmarkStart w:id="0" w:name="_GoBack"/>
      <w:bookmarkEnd w:id="0"/>
    </w:p>
    <w:sectPr>
      <w:footerReference r:id="rId3" w:type="default"/>
      <w:pgSz w:w="11906" w:h="16838"/>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7AB9">
    <w:pPr>
      <w:pStyle w:val="8"/>
      <w:wordWrap w:val="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NkZTBiNjMzYTY2OTdmZjcwNzZmMjBjZWIwNGUifQ=="/>
  </w:docVars>
  <w:rsids>
    <w:rsidRoot w:val="000F4D8F"/>
    <w:rsid w:val="00030B7A"/>
    <w:rsid w:val="000421F8"/>
    <w:rsid w:val="00065024"/>
    <w:rsid w:val="00070077"/>
    <w:rsid w:val="000A459E"/>
    <w:rsid w:val="000C0065"/>
    <w:rsid w:val="000C2B02"/>
    <w:rsid w:val="000C6E6D"/>
    <w:rsid w:val="000C7CD0"/>
    <w:rsid w:val="000F4D8F"/>
    <w:rsid w:val="00102CE8"/>
    <w:rsid w:val="00144D20"/>
    <w:rsid w:val="001504CB"/>
    <w:rsid w:val="0015083E"/>
    <w:rsid w:val="001B0BD2"/>
    <w:rsid w:val="001F491A"/>
    <w:rsid w:val="00206B9F"/>
    <w:rsid w:val="0024674A"/>
    <w:rsid w:val="00266BEE"/>
    <w:rsid w:val="0027175A"/>
    <w:rsid w:val="00292155"/>
    <w:rsid w:val="002A0E29"/>
    <w:rsid w:val="002A0FF0"/>
    <w:rsid w:val="002A17A9"/>
    <w:rsid w:val="002B1D85"/>
    <w:rsid w:val="00304E72"/>
    <w:rsid w:val="003213FE"/>
    <w:rsid w:val="00325BB1"/>
    <w:rsid w:val="00342074"/>
    <w:rsid w:val="003827D7"/>
    <w:rsid w:val="0038390B"/>
    <w:rsid w:val="003C53AC"/>
    <w:rsid w:val="0040750A"/>
    <w:rsid w:val="004362B4"/>
    <w:rsid w:val="004665BC"/>
    <w:rsid w:val="00481FA6"/>
    <w:rsid w:val="004922EA"/>
    <w:rsid w:val="004924F1"/>
    <w:rsid w:val="004C7D05"/>
    <w:rsid w:val="004E3E4B"/>
    <w:rsid w:val="004F79B8"/>
    <w:rsid w:val="005143C2"/>
    <w:rsid w:val="0054446C"/>
    <w:rsid w:val="00550AC3"/>
    <w:rsid w:val="00553093"/>
    <w:rsid w:val="00555AC3"/>
    <w:rsid w:val="005645A7"/>
    <w:rsid w:val="00573B94"/>
    <w:rsid w:val="00575ECE"/>
    <w:rsid w:val="00584A6E"/>
    <w:rsid w:val="005A2080"/>
    <w:rsid w:val="005B2D7C"/>
    <w:rsid w:val="005D338A"/>
    <w:rsid w:val="005E2AD0"/>
    <w:rsid w:val="005F5A13"/>
    <w:rsid w:val="00604ECC"/>
    <w:rsid w:val="00611829"/>
    <w:rsid w:val="006153FF"/>
    <w:rsid w:val="00617841"/>
    <w:rsid w:val="0062181A"/>
    <w:rsid w:val="00655016"/>
    <w:rsid w:val="006778FC"/>
    <w:rsid w:val="0069664C"/>
    <w:rsid w:val="006B1BDE"/>
    <w:rsid w:val="006E00CB"/>
    <w:rsid w:val="006E58B2"/>
    <w:rsid w:val="006F6394"/>
    <w:rsid w:val="00701E3A"/>
    <w:rsid w:val="00704C40"/>
    <w:rsid w:val="007271E7"/>
    <w:rsid w:val="00732BA0"/>
    <w:rsid w:val="00747749"/>
    <w:rsid w:val="0075190E"/>
    <w:rsid w:val="007970E2"/>
    <w:rsid w:val="007A2581"/>
    <w:rsid w:val="007B77D9"/>
    <w:rsid w:val="007D0D55"/>
    <w:rsid w:val="007E043A"/>
    <w:rsid w:val="00807C1A"/>
    <w:rsid w:val="0082400A"/>
    <w:rsid w:val="00837BC2"/>
    <w:rsid w:val="00845791"/>
    <w:rsid w:val="00877D01"/>
    <w:rsid w:val="00896CFF"/>
    <w:rsid w:val="008A29B9"/>
    <w:rsid w:val="008B563C"/>
    <w:rsid w:val="008B6E69"/>
    <w:rsid w:val="008D0760"/>
    <w:rsid w:val="008E5ADA"/>
    <w:rsid w:val="00900084"/>
    <w:rsid w:val="00913A86"/>
    <w:rsid w:val="00932581"/>
    <w:rsid w:val="00944D00"/>
    <w:rsid w:val="00950DD9"/>
    <w:rsid w:val="0097544D"/>
    <w:rsid w:val="00983DB2"/>
    <w:rsid w:val="00984D90"/>
    <w:rsid w:val="009858AC"/>
    <w:rsid w:val="009976E7"/>
    <w:rsid w:val="009B2373"/>
    <w:rsid w:val="00A069ED"/>
    <w:rsid w:val="00A13126"/>
    <w:rsid w:val="00A1715C"/>
    <w:rsid w:val="00A21344"/>
    <w:rsid w:val="00A22658"/>
    <w:rsid w:val="00A76836"/>
    <w:rsid w:val="00A86EE3"/>
    <w:rsid w:val="00AE34E9"/>
    <w:rsid w:val="00B114AC"/>
    <w:rsid w:val="00B60238"/>
    <w:rsid w:val="00B6403C"/>
    <w:rsid w:val="00B751FF"/>
    <w:rsid w:val="00B87D62"/>
    <w:rsid w:val="00BA08DB"/>
    <w:rsid w:val="00BB5AC3"/>
    <w:rsid w:val="00BC35A1"/>
    <w:rsid w:val="00BE24E8"/>
    <w:rsid w:val="00C113FC"/>
    <w:rsid w:val="00C233A2"/>
    <w:rsid w:val="00C32E27"/>
    <w:rsid w:val="00C3417B"/>
    <w:rsid w:val="00C825C3"/>
    <w:rsid w:val="00CB7516"/>
    <w:rsid w:val="00D0712D"/>
    <w:rsid w:val="00D15CAA"/>
    <w:rsid w:val="00D65E58"/>
    <w:rsid w:val="00D7335A"/>
    <w:rsid w:val="00DE7DCB"/>
    <w:rsid w:val="00DF31B0"/>
    <w:rsid w:val="00E05C28"/>
    <w:rsid w:val="00E608A2"/>
    <w:rsid w:val="00E8036A"/>
    <w:rsid w:val="00EC5F9F"/>
    <w:rsid w:val="00EC6476"/>
    <w:rsid w:val="00ED3B6E"/>
    <w:rsid w:val="00F1057B"/>
    <w:rsid w:val="00F42F29"/>
    <w:rsid w:val="00F52BB6"/>
    <w:rsid w:val="00F928B6"/>
    <w:rsid w:val="00FE43DB"/>
    <w:rsid w:val="01636DCF"/>
    <w:rsid w:val="01C90BE1"/>
    <w:rsid w:val="03D54358"/>
    <w:rsid w:val="05A24865"/>
    <w:rsid w:val="065701E5"/>
    <w:rsid w:val="07075455"/>
    <w:rsid w:val="07CA6531"/>
    <w:rsid w:val="118F593F"/>
    <w:rsid w:val="13353631"/>
    <w:rsid w:val="15AC4010"/>
    <w:rsid w:val="15C84C3D"/>
    <w:rsid w:val="17425D5F"/>
    <w:rsid w:val="18F003C1"/>
    <w:rsid w:val="1D850530"/>
    <w:rsid w:val="22433333"/>
    <w:rsid w:val="2598009F"/>
    <w:rsid w:val="2722788E"/>
    <w:rsid w:val="2E4F7EBA"/>
    <w:rsid w:val="2EB804C3"/>
    <w:rsid w:val="2F93260B"/>
    <w:rsid w:val="31E51169"/>
    <w:rsid w:val="345E4F6F"/>
    <w:rsid w:val="360B2C96"/>
    <w:rsid w:val="36A466A2"/>
    <w:rsid w:val="378D1CB0"/>
    <w:rsid w:val="37B34480"/>
    <w:rsid w:val="3A974F02"/>
    <w:rsid w:val="3D086647"/>
    <w:rsid w:val="3E2E755E"/>
    <w:rsid w:val="4484567D"/>
    <w:rsid w:val="44956B13"/>
    <w:rsid w:val="44E44AD4"/>
    <w:rsid w:val="472E0A32"/>
    <w:rsid w:val="47E90DBD"/>
    <w:rsid w:val="4BC57772"/>
    <w:rsid w:val="4C9E0775"/>
    <w:rsid w:val="4EA0617F"/>
    <w:rsid w:val="56841385"/>
    <w:rsid w:val="5E622EF6"/>
    <w:rsid w:val="618D1EC8"/>
    <w:rsid w:val="61974EE1"/>
    <w:rsid w:val="65B33BA5"/>
    <w:rsid w:val="681C01D8"/>
    <w:rsid w:val="6B4D28DC"/>
    <w:rsid w:val="6DF70A00"/>
    <w:rsid w:val="6E7D3ECF"/>
    <w:rsid w:val="6F7B20DE"/>
    <w:rsid w:val="72F0449F"/>
    <w:rsid w:val="73074C2B"/>
    <w:rsid w:val="74F62619"/>
    <w:rsid w:val="75A550C9"/>
    <w:rsid w:val="76D74BEE"/>
    <w:rsid w:val="78C2410D"/>
    <w:rsid w:val="78CF50F0"/>
    <w:rsid w:val="78DB1057"/>
    <w:rsid w:val="7C156E68"/>
    <w:rsid w:val="7F963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4"/>
    <w:next w:val="3"/>
    <w:qFormat/>
    <w:uiPriority w:val="0"/>
    <w:pPr>
      <w:ind w:firstLine="420" w:firstLineChars="100"/>
    </w:pPr>
  </w:style>
  <w:style w:type="paragraph" w:styleId="12">
    <w:name w:val="Body Text First Indent 2"/>
    <w:basedOn w:val="5"/>
    <w:next w:val="11"/>
    <w:qFormat/>
    <w:uiPriority w:val="0"/>
    <w:pPr>
      <w:ind w:firstLine="420" w:firstLine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heme="minorHAnsi" w:hAnsiTheme="minorHAnsi" w:eastAsiaTheme="minorEastAsia" w:cstheme="minorBidi"/>
      <w:kern w:val="2"/>
      <w:sz w:val="18"/>
      <w:szCs w:val="18"/>
    </w:rPr>
  </w:style>
  <w:style w:type="character" w:customStyle="1" w:styleId="21">
    <w:name w:val="标题 2 Char"/>
    <w:basedOn w:val="15"/>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7315F-FB8D-4B5B-804E-B939F645B0F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1350</Words>
  <Characters>1524</Characters>
  <Lines>10</Lines>
  <Paragraphs>2</Paragraphs>
  <TotalTime>0</TotalTime>
  <ScaleCrop>false</ScaleCrop>
  <LinksUpToDate>false</LinksUpToDate>
  <CharactersWithSpaces>1537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2024-07-03T00:16:00Z</dcterms:created>
  <dc:creator>ID=luoyj</dc:creator>
  <cp:lastModifiedBy>houyz</cp:lastModifiedBy>
  <cp:lastPrinted>2026-06-12T01:51:14Z</cp:lastPrinted>
  <dcterms:modified xsi:type="dcterms:W3CDTF">2026-06-12T01:51:19Z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5676CC9F36B946F684A83F228C1A6474_12</vt:lpwstr>
  </property>
  <property fmtid="{D5CDD505-2E9C-101B-9397-08002B2CF9AE}" pid="4" name="KSOTemplateDocerSaveRecord">
    <vt:lpwstr>eyJoZGlkIjoiOGI4ZGNkZTBiNjMzYTY2OTdmZjcwNzZmMjBjZWIwNGUiLCJ1c2VySWQiOiIyODYxNDcyMjAifQ==</vt:lpwstr>
  </property>
</Properties>
</file>