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53B9FC">
      <w:pPr>
        <w:spacing w:line="360" w:lineRule="auto"/>
        <w:ind w:firstLine="1285" w:firstLineChars="400"/>
        <w:rPr>
          <w:rFonts w:hint="eastAsia" w:ascii="宋体" w:hAnsi="宋体" w:cs="宋体"/>
          <w:b/>
          <w:bCs/>
          <w:sz w:val="32"/>
          <w:szCs w:val="32"/>
          <w:lang w:val="en-US" w:eastAsia="zh-CN"/>
        </w:rPr>
      </w:pPr>
      <w:r>
        <w:rPr>
          <w:rFonts w:hint="eastAsia" w:ascii="宋体" w:hAnsi="宋体" w:eastAsia="宋体" w:cs="宋体"/>
          <w:b/>
          <w:bCs/>
          <w:sz w:val="32"/>
          <w:szCs w:val="32"/>
        </w:rPr>
        <w:t>PC电解不锈钢阴极板</w:t>
      </w:r>
      <w:r>
        <w:rPr>
          <w:rFonts w:hint="eastAsia" w:ascii="宋体" w:hAnsi="宋体" w:cs="宋体"/>
          <w:b/>
          <w:bCs/>
          <w:sz w:val="32"/>
          <w:szCs w:val="32"/>
        </w:rPr>
        <w:t>板面加长</w:t>
      </w:r>
      <w:r>
        <w:rPr>
          <w:rFonts w:hint="eastAsia" w:ascii="宋体" w:hAnsi="宋体" w:cs="宋体"/>
          <w:b/>
          <w:bCs/>
          <w:sz w:val="32"/>
          <w:szCs w:val="32"/>
          <w:lang w:val="en-US" w:eastAsia="zh-CN"/>
        </w:rPr>
        <w:t>项目竞价公告</w:t>
      </w:r>
    </w:p>
    <w:p w14:paraId="68F56E8E">
      <w:pPr>
        <w:pStyle w:val="2"/>
        <w:jc w:val="center"/>
        <w:rPr>
          <w:rFonts w:hint="default"/>
          <w:lang w:val="en-US" w:eastAsia="zh-CN"/>
        </w:rPr>
      </w:pPr>
      <w:r>
        <w:rPr>
          <w:rFonts w:hint="eastAsia" w:ascii="宋体" w:hAnsi="宋体" w:cs="宋体"/>
          <w:b/>
          <w:bCs/>
          <w:sz w:val="32"/>
          <w:szCs w:val="32"/>
          <w:lang w:val="en-US" w:eastAsia="zh-CN"/>
        </w:rPr>
        <w:t>二次挂网</w:t>
      </w:r>
    </w:p>
    <w:p w14:paraId="1B7C8B3E">
      <w:pPr>
        <w:spacing w:line="600" w:lineRule="exact"/>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发布日期：2026年8月12日</w:t>
      </w:r>
    </w:p>
    <w:p w14:paraId="4D631580">
      <w:pPr>
        <w:spacing w:line="600" w:lineRule="exact"/>
        <w:ind w:firstLine="560" w:firstLineChars="200"/>
        <w:rPr>
          <w:rFonts w:hint="default" w:ascii="宋体" w:hAnsi="宋体" w:cs="宋体"/>
          <w:sz w:val="28"/>
          <w:szCs w:val="28"/>
          <w:lang w:val="en-US" w:eastAsia="zh-CN"/>
        </w:rPr>
      </w:pPr>
      <w:r>
        <w:rPr>
          <w:rFonts w:hint="eastAsia" w:ascii="宋体" w:hAnsi="宋体" w:cs="宋体"/>
          <w:sz w:val="28"/>
          <w:szCs w:val="28"/>
          <w:lang w:val="en-US" w:eastAsia="zh-CN"/>
        </w:rPr>
        <w:t>竞价编号：LHTY20260805-02</w:t>
      </w:r>
    </w:p>
    <w:p w14:paraId="0412BC83">
      <w:pPr>
        <w:spacing w:line="600" w:lineRule="exact"/>
        <w:ind w:firstLine="560" w:firstLineChars="200"/>
        <w:rPr>
          <w:rFonts w:hint="eastAsia" w:ascii="宋体" w:hAnsi="宋体" w:eastAsia="宋体" w:cs="宋体"/>
          <w:sz w:val="28"/>
          <w:szCs w:val="28"/>
        </w:rPr>
      </w:pPr>
      <w:r>
        <w:rPr>
          <w:rFonts w:hint="eastAsia" w:ascii="宋体" w:hAnsi="宋体" w:cs="宋体"/>
          <w:sz w:val="28"/>
          <w:szCs w:val="28"/>
        </w:rPr>
        <w:t>甲方：张家港联合铜业有限公司    乙方：阴极板维修方</w:t>
      </w:r>
    </w:p>
    <w:p w14:paraId="5DD69766">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1</w:t>
      </w:r>
      <w:r>
        <w:rPr>
          <w:rFonts w:hint="eastAsia" w:ascii="宋体" w:hAnsi="宋体" w:cs="宋体"/>
          <w:b/>
          <w:bCs/>
          <w:sz w:val="28"/>
          <w:szCs w:val="28"/>
        </w:rPr>
        <w:t>、数量</w:t>
      </w:r>
    </w:p>
    <w:p w14:paraId="0C7B1708">
      <w:pPr>
        <w:tabs>
          <w:tab w:val="left" w:pos="645"/>
        </w:tabs>
        <w:spacing w:line="600" w:lineRule="exact"/>
        <w:rPr>
          <w:rFonts w:hint="eastAsia" w:ascii="宋体" w:hAnsi="宋体" w:eastAsia="宋体" w:cs="宋体"/>
          <w:sz w:val="28"/>
          <w:szCs w:val="28"/>
        </w:rPr>
      </w:pPr>
      <w:r>
        <w:rPr>
          <w:rFonts w:hint="eastAsia" w:ascii="宋体" w:hAnsi="宋体" w:eastAsia="宋体" w:cs="宋体"/>
          <w:sz w:val="28"/>
          <w:szCs w:val="28"/>
        </w:rPr>
        <w:t xml:space="preserve">     PC电解不锈钢阴极板</w:t>
      </w:r>
      <w:r>
        <w:rPr>
          <w:rFonts w:hint="eastAsia" w:ascii="宋体" w:hAnsi="宋体" w:cs="宋体"/>
          <w:sz w:val="28"/>
          <w:szCs w:val="28"/>
        </w:rPr>
        <w:t>，加长数量为110片。</w:t>
      </w:r>
    </w:p>
    <w:p w14:paraId="692F4281">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2、使用工况条件</w:t>
      </w:r>
    </w:p>
    <w:p w14:paraId="55173C55">
      <w:pPr>
        <w:tabs>
          <w:tab w:val="left" w:pos="7020"/>
        </w:tabs>
        <w:spacing w:line="600" w:lineRule="exact"/>
        <w:ind w:firstLine="490"/>
        <w:jc w:val="left"/>
        <w:rPr>
          <w:rFonts w:hint="eastAsia" w:ascii="宋体" w:hAnsi="宋体" w:eastAsia="宋体" w:cs="宋体"/>
          <w:sz w:val="28"/>
          <w:szCs w:val="28"/>
        </w:rPr>
      </w:pPr>
      <w:r>
        <w:rPr>
          <w:rFonts w:hint="eastAsia" w:ascii="宋体" w:hAnsi="宋体" w:eastAsia="宋体" w:cs="宋体"/>
          <w:sz w:val="28"/>
          <w:szCs w:val="28"/>
        </w:rPr>
        <w:t>环境：空气潮湿，带有酸性腐蚀性气体，室内温度-5～50℃</w:t>
      </w:r>
    </w:p>
    <w:p w14:paraId="7772712D">
      <w:pPr>
        <w:tabs>
          <w:tab w:val="left" w:pos="7020"/>
        </w:tabs>
        <w:spacing w:line="600" w:lineRule="exact"/>
        <w:ind w:firstLine="490"/>
        <w:jc w:val="left"/>
        <w:rPr>
          <w:rFonts w:hint="eastAsia" w:ascii="宋体" w:hAnsi="宋体" w:eastAsia="宋体" w:cs="宋体"/>
          <w:sz w:val="28"/>
          <w:szCs w:val="28"/>
        </w:rPr>
      </w:pPr>
      <w:r>
        <w:rPr>
          <w:rFonts w:hint="eastAsia" w:ascii="宋体" w:hAnsi="宋体" w:eastAsia="宋体" w:cs="宋体"/>
          <w:sz w:val="28"/>
          <w:szCs w:val="28"/>
        </w:rPr>
        <w:t>电解液成分：Cu</w:t>
      </w:r>
      <w:r>
        <w:rPr>
          <w:rFonts w:hint="eastAsia" w:ascii="宋体" w:hAnsi="宋体" w:eastAsia="宋体" w:cs="宋体"/>
          <w:sz w:val="28"/>
          <w:szCs w:val="28"/>
          <w:vertAlign w:val="superscript"/>
        </w:rPr>
        <w:t>2+</w:t>
      </w:r>
      <w:r>
        <w:rPr>
          <w:rFonts w:hint="eastAsia" w:ascii="宋体" w:hAnsi="宋体" w:eastAsia="宋体" w:cs="宋体"/>
          <w:sz w:val="28"/>
          <w:szCs w:val="28"/>
        </w:rPr>
        <w:t>：40～50g/l,H</w:t>
      </w:r>
      <w:r>
        <w:rPr>
          <w:rFonts w:hint="eastAsia" w:ascii="宋体" w:hAnsi="宋体" w:eastAsia="宋体" w:cs="宋体"/>
          <w:sz w:val="28"/>
          <w:szCs w:val="28"/>
          <w:vertAlign w:val="subscript"/>
        </w:rPr>
        <w:t>2</w:t>
      </w:r>
      <w:r>
        <w:rPr>
          <w:rFonts w:hint="eastAsia" w:ascii="宋体" w:hAnsi="宋体" w:eastAsia="宋体" w:cs="宋体"/>
          <w:sz w:val="28"/>
          <w:szCs w:val="28"/>
        </w:rPr>
        <w:t>SO</w:t>
      </w:r>
      <w:r>
        <w:rPr>
          <w:rFonts w:hint="eastAsia" w:ascii="宋体" w:hAnsi="宋体" w:eastAsia="宋体" w:cs="宋体"/>
          <w:sz w:val="28"/>
          <w:szCs w:val="28"/>
          <w:vertAlign w:val="subscript"/>
        </w:rPr>
        <w:t>4</w:t>
      </w:r>
      <w:r>
        <w:rPr>
          <w:rFonts w:hint="eastAsia" w:ascii="宋体" w:hAnsi="宋体" w:eastAsia="宋体" w:cs="宋体"/>
          <w:sz w:val="28"/>
          <w:szCs w:val="28"/>
        </w:rPr>
        <w:t>：170～210g/l,Cl</w:t>
      </w:r>
      <w:r>
        <w:rPr>
          <w:rFonts w:hint="eastAsia" w:ascii="宋体" w:hAnsi="宋体" w:eastAsia="宋体" w:cs="宋体"/>
          <w:sz w:val="28"/>
          <w:szCs w:val="28"/>
          <w:vertAlign w:val="superscript"/>
        </w:rPr>
        <w:t>-</w:t>
      </w:r>
      <w:r>
        <w:rPr>
          <w:rFonts w:hint="eastAsia" w:ascii="宋体" w:hAnsi="宋体" w:eastAsia="宋体" w:cs="宋体"/>
          <w:sz w:val="28"/>
          <w:szCs w:val="28"/>
        </w:rPr>
        <w:t>≤100mg/l，</w:t>
      </w:r>
      <w:r>
        <w:rPr>
          <w:rFonts w:ascii="宋体" w:hAnsi="宋体" w:eastAsia="宋体" w:cs="宋体"/>
          <w:sz w:val="28"/>
          <w:szCs w:val="28"/>
        </w:rPr>
        <w:t>F：150-250mg/L</w:t>
      </w:r>
      <w:r>
        <w:rPr>
          <w:rFonts w:hint="eastAsia" w:ascii="宋体" w:hAnsi="宋体" w:eastAsia="宋体" w:cs="宋体"/>
          <w:sz w:val="28"/>
          <w:szCs w:val="28"/>
        </w:rPr>
        <w:t>；</w:t>
      </w:r>
    </w:p>
    <w:p w14:paraId="7C6CC58D">
      <w:pPr>
        <w:tabs>
          <w:tab w:val="left" w:pos="7020"/>
        </w:tabs>
        <w:spacing w:line="600" w:lineRule="exact"/>
        <w:ind w:firstLine="490"/>
        <w:jc w:val="left"/>
        <w:rPr>
          <w:rFonts w:hint="eastAsia" w:ascii="宋体" w:hAnsi="宋体" w:eastAsia="宋体" w:cs="宋体"/>
          <w:sz w:val="28"/>
          <w:szCs w:val="28"/>
        </w:rPr>
      </w:pPr>
      <w:r>
        <w:rPr>
          <w:rFonts w:hint="eastAsia" w:ascii="宋体" w:hAnsi="宋体" w:eastAsia="宋体" w:cs="宋体"/>
          <w:sz w:val="28"/>
          <w:szCs w:val="28"/>
        </w:rPr>
        <w:t>电解液温度：50～70℃；</w:t>
      </w:r>
    </w:p>
    <w:p w14:paraId="73E3BC50">
      <w:pPr>
        <w:tabs>
          <w:tab w:val="left" w:pos="7020"/>
        </w:tabs>
        <w:spacing w:line="600" w:lineRule="exact"/>
        <w:ind w:firstLine="490"/>
        <w:jc w:val="left"/>
        <w:rPr>
          <w:rFonts w:hint="eastAsia" w:ascii="宋体" w:hAnsi="宋体" w:eastAsia="宋体" w:cs="宋体"/>
          <w:sz w:val="28"/>
          <w:szCs w:val="28"/>
        </w:rPr>
      </w:pPr>
      <w:r>
        <w:rPr>
          <w:rFonts w:hint="eastAsia" w:ascii="宋体" w:hAnsi="宋体" w:eastAsia="宋体" w:cs="宋体"/>
          <w:sz w:val="28"/>
          <w:szCs w:val="28"/>
        </w:rPr>
        <w:t>电流密度：200～380 A/m</w:t>
      </w:r>
      <w:r>
        <w:rPr>
          <w:rFonts w:hint="eastAsia" w:ascii="宋体" w:hAnsi="宋体" w:eastAsia="宋体" w:cs="宋体"/>
          <w:sz w:val="28"/>
          <w:szCs w:val="28"/>
          <w:vertAlign w:val="superscript"/>
        </w:rPr>
        <w:t>2</w:t>
      </w:r>
      <w:r>
        <w:rPr>
          <w:rFonts w:hint="eastAsia" w:ascii="宋体" w:hAnsi="宋体" w:eastAsia="宋体" w:cs="宋体"/>
          <w:sz w:val="28"/>
          <w:szCs w:val="28"/>
        </w:rPr>
        <w:t>；</w:t>
      </w:r>
    </w:p>
    <w:p w14:paraId="02BC4047">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3、产品描述</w:t>
      </w:r>
    </w:p>
    <w:p w14:paraId="0AFA96F9">
      <w:pPr>
        <w:pStyle w:val="9"/>
        <w:spacing w:line="600" w:lineRule="exact"/>
        <w:ind w:firstLine="560"/>
      </w:pPr>
      <w:r>
        <w:rPr>
          <w:rFonts w:hint="eastAsia" w:ascii="宋体" w:hAnsi="宋体" w:cs="宋体"/>
          <w:sz w:val="28"/>
          <w:szCs w:val="28"/>
        </w:rPr>
        <w:t>3.1、</w:t>
      </w:r>
      <w:r>
        <w:rPr>
          <w:rFonts w:hint="eastAsia" w:ascii="宋体" w:hAnsi="宋体" w:eastAsia="宋体" w:cs="宋体"/>
          <w:sz w:val="28"/>
          <w:szCs w:val="28"/>
        </w:rPr>
        <w:t>对PC电解用不锈钢阴极板底部开展切割加长作业，从底端“V”型槽上方10mm处切割，加长后阴极板的最终尺寸应严格满足设计图纸要求。焊接完成后，需对阴极板板面依次进行校平、焊缝修复及打磨抛光处理，同时对发生形变的导电棒</w:t>
      </w:r>
      <w:r>
        <w:rPr>
          <w:rFonts w:ascii="宋体" w:hAnsi="宋体" w:eastAsia="宋体" w:cs="宋体"/>
          <w:sz w:val="28"/>
          <w:szCs w:val="28"/>
        </w:rPr>
        <w:t>进行校正修复</w:t>
      </w:r>
      <w:r>
        <w:rPr>
          <w:rFonts w:hint="eastAsia" w:ascii="宋体" w:hAnsi="宋体" w:eastAsia="宋体" w:cs="宋体"/>
          <w:sz w:val="28"/>
          <w:szCs w:val="28"/>
        </w:rPr>
        <w:t>。</w:t>
      </w:r>
    </w:p>
    <w:p w14:paraId="4A7E8442">
      <w:pPr>
        <w:pStyle w:val="9"/>
        <w:spacing w:line="600" w:lineRule="exact"/>
        <w:ind w:firstLine="560"/>
        <w:rPr>
          <w:rFonts w:hint="eastAsia" w:ascii="宋体" w:hAnsi="宋体" w:cs="宋体"/>
          <w:sz w:val="28"/>
          <w:szCs w:val="28"/>
        </w:rPr>
      </w:pPr>
      <w:r>
        <w:rPr>
          <w:rFonts w:hint="eastAsia" w:ascii="宋体" w:hAnsi="宋体" w:cs="宋体"/>
          <w:sz w:val="28"/>
          <w:szCs w:val="28"/>
        </w:rPr>
        <w:t>3.2、</w:t>
      </w:r>
      <w:r>
        <w:rPr>
          <w:rFonts w:ascii="宋体" w:hAnsi="宋体" w:cs="宋体"/>
          <w:sz w:val="28"/>
          <w:szCs w:val="28"/>
        </w:rPr>
        <w:t>加长段采用316L/2B不锈钢板材，推荐品牌包括太钢、张浦、宝新或同等及以上品质品牌，材料性能及技术指标均须符合ASTM A240标准中316L牌号的相关规定</w:t>
      </w:r>
      <w:r>
        <w:rPr>
          <w:rFonts w:hint="eastAsia" w:ascii="宋体" w:hAnsi="宋体" w:eastAsia="宋体" w:cs="宋体"/>
          <w:sz w:val="28"/>
          <w:szCs w:val="28"/>
        </w:rPr>
        <w:t>；板面不得存在凹陷、锤痕、划伤等外观缺陷，材料屈服强度与板面平整度指标优于该标准要求。316L不锈钢的化学成分与物理性能指标分别符合下表要求：</w:t>
      </w:r>
    </w:p>
    <w:p w14:paraId="72A4B27A">
      <w:pPr>
        <w:pStyle w:val="9"/>
        <w:spacing w:line="600" w:lineRule="exact"/>
        <w:ind w:firstLine="560"/>
        <w:rPr>
          <w:rFonts w:hint="eastAsia" w:ascii="宋体" w:hAnsi="宋体" w:eastAsia="宋体" w:cs="宋体"/>
          <w:sz w:val="28"/>
          <w:szCs w:val="28"/>
        </w:rPr>
      </w:pPr>
      <w:r>
        <w:rPr>
          <w:rFonts w:hint="eastAsia" w:ascii="宋体" w:hAnsi="宋体" w:eastAsia="宋体" w:cs="宋体"/>
          <w:sz w:val="28"/>
          <w:szCs w:val="28"/>
        </w:rPr>
        <w:t>材料理化性能应符合ASTM-A240-316L标准。</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065"/>
        <w:gridCol w:w="1065"/>
        <w:gridCol w:w="1065"/>
        <w:gridCol w:w="1065"/>
        <w:gridCol w:w="1065"/>
        <w:gridCol w:w="1066"/>
        <w:gridCol w:w="1066"/>
      </w:tblGrid>
      <w:tr w14:paraId="2D41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Align w:val="center"/>
          </w:tcPr>
          <w:p w14:paraId="470E46A7">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元素</w:t>
            </w:r>
          </w:p>
        </w:tc>
        <w:tc>
          <w:tcPr>
            <w:tcW w:w="1065" w:type="dxa"/>
            <w:vAlign w:val="center"/>
          </w:tcPr>
          <w:p w14:paraId="09B94CCA">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C%</w:t>
            </w:r>
          </w:p>
        </w:tc>
        <w:tc>
          <w:tcPr>
            <w:tcW w:w="1065" w:type="dxa"/>
            <w:vAlign w:val="center"/>
          </w:tcPr>
          <w:p w14:paraId="24C385E0">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Si%</w:t>
            </w:r>
          </w:p>
        </w:tc>
        <w:tc>
          <w:tcPr>
            <w:tcW w:w="1065" w:type="dxa"/>
            <w:vAlign w:val="center"/>
          </w:tcPr>
          <w:p w14:paraId="7BF3A775">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Mn%</w:t>
            </w:r>
          </w:p>
        </w:tc>
        <w:tc>
          <w:tcPr>
            <w:tcW w:w="1065" w:type="dxa"/>
            <w:vAlign w:val="center"/>
          </w:tcPr>
          <w:p w14:paraId="4D6C1F7A">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Cr%</w:t>
            </w:r>
          </w:p>
        </w:tc>
        <w:tc>
          <w:tcPr>
            <w:tcW w:w="1065" w:type="dxa"/>
            <w:vAlign w:val="center"/>
          </w:tcPr>
          <w:p w14:paraId="48005B6B">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Ni%</w:t>
            </w:r>
          </w:p>
        </w:tc>
        <w:tc>
          <w:tcPr>
            <w:tcW w:w="1066" w:type="dxa"/>
            <w:vAlign w:val="center"/>
          </w:tcPr>
          <w:p w14:paraId="50BFF861">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Mo%</w:t>
            </w:r>
          </w:p>
        </w:tc>
        <w:tc>
          <w:tcPr>
            <w:tcW w:w="1066" w:type="dxa"/>
          </w:tcPr>
          <w:p w14:paraId="6FA87947">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S%</w:t>
            </w:r>
          </w:p>
        </w:tc>
      </w:tr>
      <w:tr w14:paraId="7CA7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Align w:val="center"/>
          </w:tcPr>
          <w:p w14:paraId="454D065A">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含量</w:t>
            </w:r>
          </w:p>
        </w:tc>
        <w:tc>
          <w:tcPr>
            <w:tcW w:w="1065" w:type="dxa"/>
            <w:vAlign w:val="center"/>
          </w:tcPr>
          <w:p w14:paraId="36F97DDE">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≤0.03</w:t>
            </w:r>
          </w:p>
        </w:tc>
        <w:tc>
          <w:tcPr>
            <w:tcW w:w="1065" w:type="dxa"/>
            <w:vAlign w:val="center"/>
          </w:tcPr>
          <w:p w14:paraId="1C5E78F4">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≤0.75</w:t>
            </w:r>
          </w:p>
        </w:tc>
        <w:tc>
          <w:tcPr>
            <w:tcW w:w="1065" w:type="dxa"/>
            <w:vAlign w:val="center"/>
          </w:tcPr>
          <w:p w14:paraId="6F52F12B">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≤2</w:t>
            </w:r>
          </w:p>
        </w:tc>
        <w:tc>
          <w:tcPr>
            <w:tcW w:w="1065" w:type="dxa"/>
            <w:vAlign w:val="center"/>
          </w:tcPr>
          <w:p w14:paraId="5BFAF83A">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16-18</w:t>
            </w:r>
          </w:p>
        </w:tc>
        <w:tc>
          <w:tcPr>
            <w:tcW w:w="1065" w:type="dxa"/>
            <w:vAlign w:val="center"/>
          </w:tcPr>
          <w:p w14:paraId="4611C1C8">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10-14</w:t>
            </w:r>
          </w:p>
        </w:tc>
        <w:tc>
          <w:tcPr>
            <w:tcW w:w="1066" w:type="dxa"/>
            <w:vAlign w:val="center"/>
          </w:tcPr>
          <w:p w14:paraId="3243E109">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2-3</w:t>
            </w:r>
          </w:p>
        </w:tc>
        <w:tc>
          <w:tcPr>
            <w:tcW w:w="1066" w:type="dxa"/>
          </w:tcPr>
          <w:p w14:paraId="711CE5C4">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≤0.03</w:t>
            </w:r>
          </w:p>
        </w:tc>
      </w:tr>
    </w:tbl>
    <w:p w14:paraId="41C0A9F2">
      <w:pPr>
        <w:spacing w:before="156" w:beforeLines="50" w:line="240" w:lineRule="exact"/>
        <w:rPr>
          <w:rFonts w:ascii="宋体" w:hAnsi="宋体" w:cs="宋体"/>
          <w:color w:val="000000"/>
          <w:sz w:val="18"/>
          <w:szCs w:val="1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800"/>
        <w:gridCol w:w="2304"/>
        <w:gridCol w:w="2016"/>
        <w:gridCol w:w="1394"/>
      </w:tblGrid>
      <w:tr w14:paraId="34B0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78CC0E27">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项目</w:t>
            </w:r>
          </w:p>
        </w:tc>
        <w:tc>
          <w:tcPr>
            <w:tcW w:w="1800" w:type="dxa"/>
            <w:vAlign w:val="center"/>
          </w:tcPr>
          <w:p w14:paraId="4747D8CA">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抗拉强度δb</w:t>
            </w:r>
          </w:p>
        </w:tc>
        <w:tc>
          <w:tcPr>
            <w:tcW w:w="2304" w:type="dxa"/>
            <w:vAlign w:val="center"/>
          </w:tcPr>
          <w:p w14:paraId="2A54A982">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屈服强度δ0.2</w:t>
            </w:r>
          </w:p>
        </w:tc>
        <w:tc>
          <w:tcPr>
            <w:tcW w:w="2016" w:type="dxa"/>
            <w:vAlign w:val="center"/>
          </w:tcPr>
          <w:p w14:paraId="0CF797D4">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伸长率δ5（%）</w:t>
            </w:r>
          </w:p>
        </w:tc>
        <w:tc>
          <w:tcPr>
            <w:tcW w:w="1394" w:type="dxa"/>
            <w:vAlign w:val="center"/>
          </w:tcPr>
          <w:p w14:paraId="11884AF4">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硬度HRB</w:t>
            </w:r>
          </w:p>
        </w:tc>
      </w:tr>
      <w:tr w14:paraId="4A2E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528F944">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指标</w:t>
            </w:r>
          </w:p>
        </w:tc>
        <w:tc>
          <w:tcPr>
            <w:tcW w:w="1800" w:type="dxa"/>
            <w:vAlign w:val="center"/>
          </w:tcPr>
          <w:p w14:paraId="6FEF95F1">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≥485</w:t>
            </w:r>
          </w:p>
        </w:tc>
        <w:tc>
          <w:tcPr>
            <w:tcW w:w="2304" w:type="dxa"/>
            <w:vAlign w:val="center"/>
          </w:tcPr>
          <w:p w14:paraId="55584280">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≥170</w:t>
            </w:r>
          </w:p>
        </w:tc>
        <w:tc>
          <w:tcPr>
            <w:tcW w:w="2016" w:type="dxa"/>
            <w:vAlign w:val="center"/>
          </w:tcPr>
          <w:p w14:paraId="35FBFD65">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≥40</w:t>
            </w:r>
          </w:p>
        </w:tc>
        <w:tc>
          <w:tcPr>
            <w:tcW w:w="1394" w:type="dxa"/>
            <w:vAlign w:val="center"/>
          </w:tcPr>
          <w:p w14:paraId="1F34DDD1">
            <w:pPr>
              <w:spacing w:before="156" w:beforeLines="50" w:line="400" w:lineRule="exact"/>
              <w:jc w:val="center"/>
              <w:rPr>
                <w:rFonts w:hint="eastAsia" w:ascii="宋体" w:hAnsi="宋体" w:cs="宋体"/>
                <w:color w:val="000000"/>
                <w:sz w:val="24"/>
              </w:rPr>
            </w:pPr>
            <w:r>
              <w:rPr>
                <w:rFonts w:hint="eastAsia" w:ascii="宋体" w:hAnsi="宋体" w:cs="宋体"/>
                <w:color w:val="000000"/>
                <w:sz w:val="24"/>
              </w:rPr>
              <w:t>≤95</w:t>
            </w:r>
          </w:p>
        </w:tc>
      </w:tr>
    </w:tbl>
    <w:p w14:paraId="7B8607E2">
      <w:pPr>
        <w:pStyle w:val="9"/>
        <w:spacing w:line="600" w:lineRule="exact"/>
        <w:ind w:firstLine="560"/>
        <w:rPr>
          <w:rFonts w:hint="eastAsia" w:ascii="宋体" w:hAnsi="宋体" w:cs="宋体"/>
          <w:sz w:val="28"/>
          <w:szCs w:val="28"/>
        </w:rPr>
      </w:pPr>
      <w:r>
        <w:rPr>
          <w:rFonts w:hint="eastAsia" w:ascii="宋体" w:hAnsi="宋体" w:cs="宋体"/>
          <w:sz w:val="28"/>
          <w:szCs w:val="28"/>
        </w:rPr>
        <w:t>3.3、板材表面粗糙度达到Ra0.3μm-0.57μm；</w:t>
      </w:r>
    </w:p>
    <w:p w14:paraId="5FE95DC3">
      <w:pPr>
        <w:spacing w:line="600" w:lineRule="exact"/>
        <w:ind w:firstLine="560" w:firstLineChars="200"/>
        <w:rPr>
          <w:rFonts w:hint="eastAsia" w:ascii="宋体" w:hAnsi="宋体" w:cs="宋体"/>
          <w:sz w:val="28"/>
          <w:szCs w:val="28"/>
        </w:rPr>
      </w:pPr>
      <w:r>
        <w:rPr>
          <w:rFonts w:hint="eastAsia" w:ascii="宋体" w:hAnsi="宋体" w:cs="宋体"/>
          <w:sz w:val="28"/>
          <w:szCs w:val="28"/>
        </w:rPr>
        <w:t>板厚公差      ±0.08mm。</w:t>
      </w:r>
    </w:p>
    <w:p w14:paraId="16BEFB00">
      <w:pPr>
        <w:spacing w:line="600" w:lineRule="exact"/>
        <w:ind w:firstLine="560" w:firstLineChars="200"/>
        <w:rPr>
          <w:rFonts w:hint="eastAsia" w:ascii="宋体" w:hAnsi="宋体" w:cs="宋体"/>
          <w:sz w:val="28"/>
          <w:szCs w:val="28"/>
        </w:rPr>
      </w:pPr>
      <w:r>
        <w:rPr>
          <w:rFonts w:hint="eastAsia" w:ascii="宋体" w:hAnsi="宋体" w:cs="宋体"/>
          <w:sz w:val="28"/>
          <w:szCs w:val="28"/>
        </w:rPr>
        <w:t>长度公差      ±</w:t>
      </w:r>
      <w:r>
        <w:rPr>
          <w:rFonts w:ascii="宋体" w:hAnsi="宋体" w:cs="宋体"/>
          <w:sz w:val="28"/>
          <w:szCs w:val="28"/>
        </w:rPr>
        <w:t>lmm</w:t>
      </w:r>
    </w:p>
    <w:p w14:paraId="37AFFDD3">
      <w:pPr>
        <w:spacing w:line="600" w:lineRule="exact"/>
        <w:ind w:firstLine="560" w:firstLineChars="200"/>
        <w:rPr>
          <w:rFonts w:hint="eastAsia" w:ascii="宋体" w:hAnsi="宋体" w:cs="宋体"/>
          <w:sz w:val="28"/>
          <w:szCs w:val="28"/>
        </w:rPr>
      </w:pPr>
      <w:r>
        <w:rPr>
          <w:rFonts w:hint="eastAsia" w:ascii="宋体" w:hAnsi="宋体" w:cs="宋体"/>
          <w:sz w:val="28"/>
          <w:szCs w:val="28"/>
        </w:rPr>
        <w:t>宽度公差      ±</w:t>
      </w:r>
      <w:r>
        <w:rPr>
          <w:rFonts w:ascii="宋体" w:hAnsi="宋体" w:cs="宋体"/>
          <w:sz w:val="28"/>
          <w:szCs w:val="28"/>
        </w:rPr>
        <w:t>lmm</w:t>
      </w:r>
    </w:p>
    <w:p w14:paraId="75A964C9">
      <w:pPr>
        <w:spacing w:line="600" w:lineRule="exact"/>
        <w:ind w:firstLine="560" w:firstLineChars="200"/>
        <w:rPr>
          <w:rFonts w:hint="eastAsia" w:ascii="宋体" w:hAnsi="宋体" w:cs="宋体"/>
          <w:sz w:val="28"/>
          <w:szCs w:val="28"/>
        </w:rPr>
      </w:pPr>
      <w:r>
        <w:rPr>
          <w:rFonts w:hint="eastAsia" w:ascii="宋体" w:hAnsi="宋体" w:cs="宋体"/>
          <w:sz w:val="28"/>
          <w:szCs w:val="28"/>
        </w:rPr>
        <w:t>屈服应力(Rp0.2)约350Mpa</w:t>
      </w:r>
    </w:p>
    <w:p w14:paraId="7E8C6AC0">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4、焊接加长方式</w:t>
      </w:r>
    </w:p>
    <w:p w14:paraId="6BE85224">
      <w:pPr>
        <w:spacing w:line="600" w:lineRule="exact"/>
        <w:ind w:firstLine="560" w:firstLineChars="200"/>
      </w:pPr>
      <w:r>
        <w:rPr>
          <w:rFonts w:hint="eastAsia" w:ascii="宋体" w:hAnsi="宋体" w:cs="宋体"/>
          <w:sz w:val="28"/>
          <w:szCs w:val="28"/>
        </w:rPr>
        <w:t>4.1、</w:t>
      </w:r>
      <w:r>
        <w:rPr>
          <w:rFonts w:hint="eastAsia" w:ascii="宋体" w:hAnsi="宋体" w:eastAsia="宋体" w:cs="宋体"/>
          <w:sz w:val="28"/>
          <w:szCs w:val="28"/>
        </w:rPr>
        <w:t>乙方须采用自动化激光焊接设备，通过单次填丝工艺实现单面焊双面一次成型，焊接完成后需进行打磨拉丝处理，于阴极板底部开设信封式90°V型槽。</w:t>
      </w:r>
    </w:p>
    <w:p w14:paraId="4AA41BCC">
      <w:pPr>
        <w:spacing w:line="600" w:lineRule="exact"/>
        <w:ind w:firstLine="560" w:firstLineChars="200"/>
      </w:pPr>
      <w:r>
        <w:rPr>
          <w:rFonts w:hint="eastAsia" w:ascii="宋体" w:hAnsi="宋体" w:eastAsia="宋体" w:cs="宋体"/>
          <w:sz w:val="28"/>
          <w:szCs w:val="28"/>
        </w:rPr>
        <w:t>4.2、阴极板焊接加长完成后需开展形位公差检测，其端面上下方向偏差不得超过5mm；整形后板面平整度、悬垂度均需满足工艺使用要求，具体指标为：板面平整度公差≤±5mm，板面悬垂度公差≤±5mm，导电棒直线度公差≤±1mm。</w:t>
      </w:r>
    </w:p>
    <w:p w14:paraId="14CB5088">
      <w:pPr>
        <w:spacing w:line="600" w:lineRule="exact"/>
        <w:ind w:firstLine="560" w:firstLineChars="200"/>
      </w:pPr>
      <w:r>
        <w:rPr>
          <w:rFonts w:hint="eastAsia" w:ascii="宋体" w:hAnsi="宋体" w:eastAsia="宋体" w:cs="宋体"/>
          <w:sz w:val="28"/>
          <w:szCs w:val="28"/>
        </w:rPr>
        <w:t>4.3、乙方需采用120目砂纸或0#铁砂布打磨设备对阴极板表面进行打磨抛光处理，加工后板面不得存在擦痕、划痕等缺陷，表面粗糙度需满足技术要求，同时需保障阴极板在正常生产过程中不存在阴极铜自然脱落现象，具备优良的阴极铜剥离性能。</w:t>
      </w:r>
    </w:p>
    <w:p w14:paraId="56DD28B4">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5、出厂保证金</w:t>
      </w:r>
    </w:p>
    <w:p w14:paraId="7D6F5D2D">
      <w:pPr>
        <w:spacing w:line="600" w:lineRule="exact"/>
        <w:ind w:firstLine="560"/>
        <w:rPr>
          <w:rFonts w:hint="eastAsia" w:ascii="宋体" w:hAnsi="宋体" w:cs="宋体"/>
          <w:sz w:val="28"/>
          <w:szCs w:val="28"/>
        </w:rPr>
      </w:pPr>
      <w:r>
        <w:rPr>
          <w:rFonts w:hint="eastAsia" w:ascii="宋体" w:hAnsi="宋体" w:cs="宋体"/>
          <w:sz w:val="28"/>
          <w:szCs w:val="28"/>
        </w:rPr>
        <w:t>返回乙方加长的阴极板，</w:t>
      </w:r>
      <w:r>
        <w:rPr>
          <w:rFonts w:ascii="宋体" w:hAnsi="宋体" w:cs="宋体"/>
          <w:sz w:val="28"/>
          <w:szCs w:val="28"/>
        </w:rPr>
        <w:t>乙方需提供按实际运出数量*1500元/块</w:t>
      </w:r>
      <w:r>
        <w:rPr>
          <w:rFonts w:hint="eastAsia" w:ascii="宋体" w:hAnsi="宋体" w:cs="宋体"/>
          <w:sz w:val="28"/>
          <w:szCs w:val="28"/>
        </w:rPr>
        <w:t>阴极</w:t>
      </w:r>
      <w:r>
        <w:rPr>
          <w:rFonts w:ascii="宋体" w:hAnsi="宋体" w:cs="宋体"/>
          <w:sz w:val="28"/>
          <w:szCs w:val="28"/>
        </w:rPr>
        <w:t>板计算的相应价值的银行保函</w:t>
      </w:r>
      <w:r>
        <w:rPr>
          <w:rFonts w:hint="eastAsia" w:ascii="宋体" w:hAnsi="宋体" w:cs="宋体"/>
          <w:sz w:val="28"/>
          <w:szCs w:val="28"/>
        </w:rPr>
        <w:t>。</w:t>
      </w:r>
      <w:r>
        <w:rPr>
          <w:rFonts w:ascii="宋体" w:hAnsi="宋体" w:cs="宋体"/>
          <w:sz w:val="28"/>
          <w:szCs w:val="28"/>
        </w:rPr>
        <w:t>阴极板返回甲方现场，数量无误后，银行保函原路退回。</w:t>
      </w:r>
      <w:r>
        <w:rPr>
          <w:rFonts w:hint="eastAsia" w:ascii="宋体" w:hAnsi="宋体" w:cs="宋体"/>
          <w:sz w:val="28"/>
          <w:szCs w:val="28"/>
        </w:rPr>
        <w:t>此条乙方需在报价中响应，未响应视为无效标。</w:t>
      </w:r>
    </w:p>
    <w:p w14:paraId="345674BE">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6、质保期</w:t>
      </w:r>
    </w:p>
    <w:p w14:paraId="73C97E5A">
      <w:pPr>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从用户验收合格起开始计算质量保证期，质保期不低于12个月（含12个月）。在质量保证期内，在正常工况下适用，发生一切与阴极板加长有关的质量事故，</w:t>
      </w:r>
      <w:r>
        <w:rPr>
          <w:rFonts w:hint="eastAsia" w:ascii="宋体" w:hAnsi="宋体" w:cs="宋体"/>
          <w:sz w:val="28"/>
          <w:szCs w:val="28"/>
        </w:rPr>
        <w:t>乙方</w:t>
      </w:r>
      <w:r>
        <w:rPr>
          <w:rFonts w:hint="eastAsia" w:ascii="宋体" w:hAnsi="宋体" w:eastAsia="宋体" w:cs="宋体"/>
          <w:sz w:val="28"/>
          <w:szCs w:val="28"/>
        </w:rPr>
        <w:t>除负责免费维修和更换外，应承担相应的法律责任和经济损失。因产品质量出现问题时，</w:t>
      </w:r>
      <w:r>
        <w:rPr>
          <w:rFonts w:hint="eastAsia" w:ascii="宋体" w:hAnsi="宋体" w:cs="宋体"/>
          <w:sz w:val="28"/>
          <w:szCs w:val="28"/>
        </w:rPr>
        <w:t>乙方</w:t>
      </w:r>
      <w:r>
        <w:rPr>
          <w:rFonts w:hint="eastAsia" w:ascii="宋体" w:hAnsi="宋体" w:eastAsia="宋体" w:cs="宋体"/>
          <w:sz w:val="28"/>
          <w:szCs w:val="28"/>
        </w:rPr>
        <w:t>应在接到用户通知后及时赶到现场处理（响应时间：24小时）。</w:t>
      </w:r>
    </w:p>
    <w:p w14:paraId="14014107">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7、检验及验收</w:t>
      </w:r>
    </w:p>
    <w:p w14:paraId="0F28669D">
      <w:pPr>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7.1乙方随产品提供原材料供应厂家出具的原材料检验化学成分和物理性能分析报告;</w:t>
      </w:r>
    </w:p>
    <w:p w14:paraId="1BF549F0">
      <w:pPr>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7.2检查阴极板外形尺寸、悬垂度、焊缝质量、“V”型槽、制造公差符合图纸及3.1和4.2、4.3条款要求。</w:t>
      </w:r>
    </w:p>
    <w:p w14:paraId="2C2238CE">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8、报价</w:t>
      </w:r>
    </w:p>
    <w:p w14:paraId="37EA0EA7">
      <w:pPr>
        <w:spacing w:line="560" w:lineRule="exact"/>
        <w:ind w:firstLine="560" w:firstLineChars="200"/>
        <w:rPr>
          <w:rFonts w:hint="eastAsia" w:ascii="宋体" w:hAnsi="宋体" w:cs="宋体"/>
          <w:sz w:val="28"/>
          <w:szCs w:val="28"/>
        </w:rPr>
      </w:pPr>
      <w:r>
        <w:rPr>
          <w:rFonts w:hint="eastAsia" w:ascii="宋体" w:hAnsi="宋体" w:cs="宋体"/>
          <w:sz w:val="28"/>
          <w:szCs w:val="28"/>
        </w:rPr>
        <w:t>乙方报价需含13%增值税，如不能开具应注明实开税率。报价单总价最低者为中标单位。</w:t>
      </w:r>
    </w:p>
    <w:p w14:paraId="2940F203">
      <w:pPr>
        <w:spacing w:line="600" w:lineRule="exact"/>
        <w:rPr>
          <w:rFonts w:hint="eastAsia" w:ascii="宋体" w:hAnsi="宋体" w:eastAsia="宋体" w:cs="宋体"/>
          <w:b/>
          <w:bCs/>
          <w:sz w:val="28"/>
          <w:szCs w:val="28"/>
        </w:rPr>
      </w:pPr>
      <w:r>
        <w:rPr>
          <w:rFonts w:hint="eastAsia" w:ascii="宋体" w:hAnsi="宋体" w:eastAsia="宋体" w:cs="宋体"/>
          <w:b/>
          <w:bCs/>
          <w:sz w:val="28"/>
          <w:szCs w:val="28"/>
        </w:rPr>
        <w:t>9、付款方式</w:t>
      </w:r>
    </w:p>
    <w:p w14:paraId="3B9132A9">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验收合格后支付当批次</w:t>
      </w:r>
      <w:r>
        <w:rPr>
          <w:rFonts w:hint="eastAsia" w:ascii="宋体" w:hAnsi="宋体" w:cs="宋体"/>
          <w:sz w:val="28"/>
          <w:szCs w:val="28"/>
        </w:rPr>
        <w:t>费用</w:t>
      </w:r>
      <w:r>
        <w:rPr>
          <w:rFonts w:hint="eastAsia" w:ascii="宋体" w:hAnsi="宋体" w:eastAsia="宋体" w:cs="宋体"/>
          <w:sz w:val="28"/>
          <w:szCs w:val="28"/>
        </w:rPr>
        <w:t>的97%，余款3%为质保金，质保一年。</w:t>
      </w:r>
    </w:p>
    <w:p w14:paraId="251962B1">
      <w:pPr>
        <w:spacing w:line="600" w:lineRule="exact"/>
        <w:rPr>
          <w:rFonts w:hint="eastAsia" w:ascii="宋体" w:hAnsi="宋体" w:eastAsia="宋体" w:cs="宋体"/>
          <w:sz w:val="28"/>
          <w:szCs w:val="28"/>
        </w:rPr>
      </w:pPr>
      <w:r>
        <w:rPr>
          <w:rFonts w:hint="eastAsia" w:ascii="宋体" w:hAnsi="宋体" w:eastAsia="宋体" w:cs="宋体"/>
          <w:b/>
          <w:bCs/>
          <w:sz w:val="28"/>
          <w:szCs w:val="28"/>
        </w:rPr>
        <w:t>1</w:t>
      </w:r>
      <w:r>
        <w:rPr>
          <w:rFonts w:hint="eastAsia" w:ascii="宋体" w:hAnsi="宋体" w:eastAsia="宋体" w:cs="宋体"/>
          <w:b/>
          <w:bCs/>
          <w:sz w:val="28"/>
          <w:szCs w:val="28"/>
          <w:lang w:val="en-US" w:eastAsia="zh-CN"/>
        </w:rPr>
        <w:t>0</w:t>
      </w:r>
      <w:r>
        <w:rPr>
          <w:rFonts w:hint="eastAsia" w:ascii="宋体" w:hAnsi="宋体" w:eastAsia="宋体" w:cs="宋体"/>
          <w:b/>
          <w:bCs/>
          <w:sz w:val="28"/>
          <w:szCs w:val="28"/>
        </w:rPr>
        <w:t>、附图：</w:t>
      </w:r>
      <w:r>
        <w:rPr>
          <w:rFonts w:hint="eastAsia" w:ascii="宋体" w:hAnsi="宋体" w:eastAsia="宋体" w:cs="宋体"/>
          <w:sz w:val="28"/>
          <w:szCs w:val="28"/>
        </w:rPr>
        <w:br w:type="page"/>
      </w:r>
    </w:p>
    <w:p w14:paraId="25F1CBD0">
      <w:pPr>
        <w:bidi w:val="0"/>
        <w:jc w:val="left"/>
        <w:rPr>
          <w:rFonts w:hint="eastAsia" w:asciiTheme="minorHAnsi" w:hAnsiTheme="minorHAnsi" w:eastAsiaTheme="minorEastAsia" w:cstheme="minorBidi"/>
          <w:kern w:val="2"/>
          <w:sz w:val="21"/>
          <w:szCs w:val="24"/>
          <w:lang w:val="en-US" w:eastAsia="zh-CN" w:bidi="ar-SA"/>
        </w:rPr>
        <w:sectPr>
          <w:pgSz w:w="11906" w:h="16838"/>
          <w:pgMar w:top="1440" w:right="1800" w:bottom="1440" w:left="1800" w:header="851" w:footer="992" w:gutter="0"/>
          <w:cols w:space="425" w:num="1"/>
          <w:docGrid w:type="lines" w:linePitch="312" w:charSpace="0"/>
        </w:sectPr>
      </w:pPr>
    </w:p>
    <w:p w14:paraId="59EBF4F8">
      <w:pPr>
        <w:spacing w:line="560" w:lineRule="exact"/>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column">
                  <wp:posOffset>1495425</wp:posOffset>
                </wp:positionH>
                <wp:positionV relativeFrom="paragraph">
                  <wp:posOffset>-1026160</wp:posOffset>
                </wp:positionV>
                <wp:extent cx="3252470" cy="459105"/>
                <wp:effectExtent l="0" t="0" r="0" b="0"/>
                <wp:wrapNone/>
                <wp:docPr id="1" name="文本框 1"/>
                <wp:cNvGraphicFramePr/>
                <a:graphic xmlns:a="http://schemas.openxmlformats.org/drawingml/2006/main">
                  <a:graphicData uri="http://schemas.microsoft.com/office/word/2010/wordprocessingShape">
                    <wps:wsp>
                      <wps:cNvSpPr txBox="1"/>
                      <wps:spPr>
                        <a:xfrm>
                          <a:off x="2293620" y="9114790"/>
                          <a:ext cx="3252470" cy="459105"/>
                        </a:xfrm>
                        <a:prstGeom prst="rect">
                          <a:avLst/>
                        </a:prstGeom>
                        <a:ln>
                          <a:noFill/>
                        </a:ln>
                      </wps:spPr>
                      <wps:style>
                        <a:lnRef idx="2">
                          <a:schemeClr val="accent1"/>
                        </a:lnRef>
                        <a:fillRef idx="0">
                          <a:srgbClr val="FFFFFF"/>
                        </a:fillRef>
                        <a:effectRef idx="0">
                          <a:srgbClr val="FFFFFF"/>
                        </a:effectRef>
                        <a:fontRef idx="minor">
                          <a:schemeClr val="tx1"/>
                        </a:fontRef>
                      </wps:style>
                      <wps:txbx>
                        <w:txbxContent>
                          <w:p w14:paraId="2DA97893">
                            <w:pPr>
                              <w:rPr>
                                <w:rFonts w:hint="default" w:eastAsiaTheme="minorEastAsia"/>
                                <w:b/>
                                <w:bCs/>
                                <w:sz w:val="28"/>
                                <w:szCs w:val="36"/>
                                <w:lang w:val="en-US" w:eastAsia="zh-CN"/>
                              </w:rPr>
                            </w:pPr>
                            <w:r>
                              <w:rPr>
                                <w:rFonts w:hint="eastAsia"/>
                                <w:b/>
                                <w:bCs/>
                                <w:sz w:val="28"/>
                                <w:szCs w:val="36"/>
                                <w:lang w:val="en-US" w:eastAsia="zh-CN"/>
                              </w:rPr>
                              <w:t>加长前阴极板尺寸图纸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7.75pt;margin-top:-80.8pt;height:36.15pt;width:256.1pt;z-index:251660288;mso-width-relative:page;mso-height-relative:page;" filled="f" stroked="f" coordsize="21600,21600" o:gfxdata="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&#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Jn+RXnaAAAADAEAAA8AAAAAAAAAAQAgAAAAIgAAAGRy&#10;cy9kb3ducmV2LnhtbFBLAQIUABQAAAAIAIdO4kChSj9TdQIAAMQEAAAOAAAAAAAAAAEAIAAAACkB&#10;AABkcnMvZTJvRG9jLnhtbFBLBQYAAAAABgAGAFkBAAAQBgAAAAA=&#10;">
                <v:fill on="f" focussize="0,0"/>
                <v:stroke on="f" weight="1pt" miterlimit="8" joinstyle="miter"/>
                <v:imagedata o:title=""/>
                <o:lock v:ext="edit" aspectratio="f"/>
                <v:textbox>
                  <w:txbxContent>
                    <w:p w14:paraId="2DA97893">
                      <w:pPr>
                        <w:rPr>
                          <w:rFonts w:hint="default" w:eastAsiaTheme="minorEastAsia"/>
                          <w:b/>
                          <w:bCs/>
                          <w:sz w:val="28"/>
                          <w:szCs w:val="36"/>
                          <w:lang w:val="en-US" w:eastAsia="zh-CN"/>
                        </w:rPr>
                      </w:pPr>
                      <w:r>
                        <w:rPr>
                          <w:rFonts w:hint="eastAsia"/>
                          <w:b/>
                          <w:bCs/>
                          <w:sz w:val="28"/>
                          <w:szCs w:val="36"/>
                          <w:lang w:val="en-US" w:eastAsia="zh-CN"/>
                        </w:rPr>
                        <w:t>加长前阴极板尺寸图纸</w:t>
                      </w:r>
                    </w:p>
                  </w:txbxContent>
                </v:textbox>
              </v:shape>
            </w:pict>
          </mc:Fallback>
        </mc:AlternateContent>
      </w:r>
      <w:r>
        <w:rPr>
          <w:b/>
          <w:bCs/>
        </w:rPr>
        <w:drawing>
          <wp:anchor distT="0" distB="0" distL="114300" distR="114300" simplePos="0" relativeHeight="251659264" behindDoc="0" locked="0" layoutInCell="1" allowOverlap="1">
            <wp:simplePos x="0" y="0"/>
            <wp:positionH relativeFrom="column">
              <wp:posOffset>249555</wp:posOffset>
            </wp:positionH>
            <wp:positionV relativeFrom="paragraph">
              <wp:posOffset>-544195</wp:posOffset>
            </wp:positionV>
            <wp:extent cx="8229600" cy="5822315"/>
            <wp:effectExtent l="0" t="0" r="0" b="6985"/>
            <wp:wrapNone/>
            <wp:docPr id="7840278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027823"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8229600" cy="5822407"/>
                    </a:xfrm>
                    <a:prstGeom prst="rect">
                      <a:avLst/>
                    </a:prstGeom>
                    <a:noFill/>
                    <a:ln>
                      <a:noFill/>
                    </a:ln>
                  </pic:spPr>
                </pic:pic>
              </a:graphicData>
            </a:graphic>
          </wp:anchor>
        </w:drawing>
      </w:r>
    </w:p>
    <w:p w14:paraId="4C21B1AC">
      <w:pPr>
        <w:spacing w:line="560" w:lineRule="exact"/>
        <w:rPr>
          <w:rFonts w:hint="eastAsia" w:ascii="宋体" w:hAnsi="宋体" w:eastAsia="宋体" w:cs="宋体"/>
          <w:sz w:val="28"/>
          <w:szCs w:val="28"/>
        </w:rPr>
      </w:pPr>
    </w:p>
    <w:p w14:paraId="43A9FCAF">
      <w:pPr>
        <w:jc w:val="center"/>
      </w:pPr>
    </w:p>
    <w:p w14:paraId="6B4FA04F">
      <w:pPr>
        <w:jc w:val="center"/>
        <w:rPr>
          <w:b/>
          <w:bCs/>
        </w:rPr>
      </w:pPr>
    </w:p>
    <w:p w14:paraId="68C5F5A0">
      <w:pPr>
        <w:jc w:val="center"/>
        <w:rPr>
          <w:b/>
          <w:bCs/>
        </w:rPr>
      </w:pPr>
    </w:p>
    <w:p w14:paraId="0D6CEFF1">
      <w:pPr>
        <w:jc w:val="center"/>
        <w:rPr>
          <w:b/>
          <w:bCs/>
        </w:rPr>
      </w:pPr>
    </w:p>
    <w:p w14:paraId="273DAAD9">
      <w:pPr>
        <w:jc w:val="center"/>
        <w:rPr>
          <w:b/>
          <w:bCs/>
        </w:rPr>
      </w:pPr>
    </w:p>
    <w:p w14:paraId="03D00673">
      <w:pPr>
        <w:jc w:val="center"/>
        <w:rPr>
          <w:b/>
          <w:bCs/>
        </w:rPr>
      </w:pPr>
    </w:p>
    <w:p w14:paraId="5E94256B">
      <w:pPr>
        <w:jc w:val="center"/>
        <w:rPr>
          <w:b/>
          <w:bCs/>
        </w:rPr>
      </w:pPr>
      <w:r>
        <w:rPr>
          <w:rFonts w:hint="eastAsia"/>
          <w:b/>
          <w:bCs/>
        </w:rPr>
        <w:t>加长前图纸</w:t>
      </w:r>
    </w:p>
    <w:p w14:paraId="746C6A30">
      <w:pPr>
        <w:jc w:val="center"/>
      </w:pPr>
    </w:p>
    <w:p w14:paraId="7E3297FD">
      <w:pPr>
        <w:jc w:val="center"/>
        <w:rPr>
          <w:b/>
          <w:bCs/>
        </w:rPr>
      </w:pPr>
    </w:p>
    <w:p w14:paraId="75FDBC1E">
      <w:pPr>
        <w:jc w:val="center"/>
        <w:rPr>
          <w:b/>
          <w:bCs/>
        </w:rPr>
        <w:sectPr>
          <w:pgSz w:w="16838" w:h="11906" w:orient="landscape"/>
          <w:pgMar w:top="1800" w:right="1440" w:bottom="1800" w:left="1440" w:header="851" w:footer="992" w:gutter="0"/>
          <w:cols w:space="425" w:num="1"/>
          <w:docGrid w:type="lines" w:linePitch="312" w:charSpace="0"/>
        </w:sectPr>
      </w:pPr>
      <w:r>
        <w:rPr>
          <w:sz w:val="28"/>
        </w:rPr>
        <mc:AlternateContent>
          <mc:Choice Requires="wps">
            <w:drawing>
              <wp:anchor distT="0" distB="0" distL="114300" distR="114300" simplePos="0" relativeHeight="251661312" behindDoc="0" locked="0" layoutInCell="1" allowOverlap="1">
                <wp:simplePos x="0" y="0"/>
                <wp:positionH relativeFrom="column">
                  <wp:posOffset>1219835</wp:posOffset>
                </wp:positionH>
                <wp:positionV relativeFrom="paragraph">
                  <wp:posOffset>-624205</wp:posOffset>
                </wp:positionV>
                <wp:extent cx="3252470" cy="4591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3252470" cy="459105"/>
                        </a:xfrm>
                        <a:prstGeom prst="rect">
                          <a:avLst/>
                        </a:prstGeom>
                        <a:ln>
                          <a:noFill/>
                        </a:ln>
                      </wps:spPr>
                      <wps:style>
                        <a:lnRef idx="2">
                          <a:schemeClr val="accent1"/>
                        </a:lnRef>
                        <a:fillRef idx="0">
                          <a:srgbClr val="FFFFFF"/>
                        </a:fillRef>
                        <a:effectRef idx="0">
                          <a:srgbClr val="FFFFFF"/>
                        </a:effectRef>
                        <a:fontRef idx="minor">
                          <a:schemeClr val="tx1"/>
                        </a:fontRef>
                      </wps:style>
                      <wps:txbx>
                        <w:txbxContent>
                          <w:p w14:paraId="751BC005">
                            <w:pPr>
                              <w:rPr>
                                <w:rFonts w:hint="default" w:eastAsiaTheme="minorEastAsia"/>
                                <w:b/>
                                <w:bCs/>
                                <w:sz w:val="28"/>
                                <w:szCs w:val="36"/>
                                <w:lang w:val="en-US" w:eastAsia="zh-CN"/>
                              </w:rPr>
                            </w:pPr>
                            <w:r>
                              <w:rPr>
                                <w:rFonts w:hint="eastAsia"/>
                                <w:b/>
                                <w:bCs/>
                                <w:sz w:val="28"/>
                                <w:szCs w:val="36"/>
                                <w:lang w:val="en-US" w:eastAsia="zh-CN"/>
                              </w:rPr>
                              <w:t>加长后阴极板尺寸图纸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6.05pt;margin-top:-49.15pt;height:36.15pt;width:256.1pt;z-index:251661312;mso-width-relative:page;mso-height-relative:page;" filled="f" stroked="f" coordsize="21600,21600" o:gfxdata="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38GQWNgAAAALAQAADwAAAAAAAAABACAAAAAiAAAAZHJzL2Rvd25yZXYueG1s&#10;UEsBAhQAFAAAAAgAh07iQL52z41qAgAAuAQAAA4AAAAAAAAAAQAgAAAAJwEAAGRycy9lMm9Eb2Mu&#10;eG1sUEsFBgAAAAAGAAYAWQEAAAMGAAAAAA==&#10;">
                <v:fill on="f" focussize="0,0"/>
                <v:stroke on="f" weight="1pt" miterlimit="8" joinstyle="miter"/>
                <v:imagedata o:title=""/>
                <o:lock v:ext="edit" aspectratio="f"/>
                <v:textbox>
                  <w:txbxContent>
                    <w:p w14:paraId="751BC005">
                      <w:pPr>
                        <w:rPr>
                          <w:rFonts w:hint="default" w:eastAsiaTheme="minorEastAsia"/>
                          <w:b/>
                          <w:bCs/>
                          <w:sz w:val="28"/>
                          <w:szCs w:val="36"/>
                          <w:lang w:val="en-US" w:eastAsia="zh-CN"/>
                        </w:rPr>
                      </w:pPr>
                      <w:r>
                        <w:rPr>
                          <w:rFonts w:hint="eastAsia"/>
                          <w:b/>
                          <w:bCs/>
                          <w:sz w:val="28"/>
                          <w:szCs w:val="36"/>
                          <w:lang w:val="en-US" w:eastAsia="zh-CN"/>
                        </w:rPr>
                        <w:t>加长后阴极板尺寸图纸</w:t>
                      </w:r>
                    </w:p>
                  </w:txbxContent>
                </v:textbox>
              </v:shape>
            </w:pict>
          </mc:Fallback>
        </mc:AlternateContent>
      </w:r>
      <w:r>
        <w:rPr>
          <w:b/>
          <w:bCs/>
        </w:rPr>
        <w:drawing>
          <wp:inline distT="0" distB="0" distL="0" distR="0">
            <wp:extent cx="8220710" cy="5821045"/>
            <wp:effectExtent l="0" t="0" r="8890" b="8255"/>
            <wp:docPr id="10102401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240147"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8241219" cy="5835599"/>
                    </a:xfrm>
                    <a:prstGeom prst="rect">
                      <a:avLst/>
                    </a:prstGeom>
                    <a:noFill/>
                    <a:ln>
                      <a:noFill/>
                    </a:ln>
                  </pic:spPr>
                </pic:pic>
              </a:graphicData>
            </a:graphic>
          </wp:inline>
        </w:drawing>
      </w:r>
    </w:p>
    <w:p w14:paraId="6D0113EA">
      <w:pPr>
        <w:spacing w:line="600" w:lineRule="exact"/>
        <w:rPr>
          <w:rFonts w:hint="eastAsia" w:ascii="宋体" w:hAnsi="宋体" w:eastAsia="宋体" w:cs="宋体"/>
          <w:b/>
          <w:bCs/>
          <w:sz w:val="28"/>
          <w:szCs w:val="28"/>
          <w:lang w:val="en-US" w:eastAsia="zh-CN"/>
        </w:rPr>
      </w:pPr>
      <w:bookmarkStart w:id="0" w:name="_GoBack"/>
      <w:bookmarkEnd w:id="0"/>
      <w:r>
        <w:rPr>
          <w:rFonts w:hint="eastAsia" w:ascii="宋体" w:hAnsi="宋体" w:eastAsia="宋体" w:cs="宋体"/>
          <w:b/>
          <w:bCs/>
          <w:sz w:val="28"/>
          <w:szCs w:val="28"/>
          <w:lang w:val="en-US" w:eastAsia="zh-CN"/>
        </w:rPr>
        <w:t>11、中标方确定</w:t>
      </w:r>
    </w:p>
    <w:p w14:paraId="36606B2C">
      <w:pPr>
        <w:spacing w:line="60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以符合竞价文件要求的最低投标价确定为中标人</w:t>
      </w:r>
    </w:p>
    <w:p w14:paraId="437F62A5">
      <w:pPr>
        <w:spacing w:line="600" w:lineRule="exac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12、报价截止时间</w:t>
      </w:r>
    </w:p>
    <w:p w14:paraId="3FEDF8DA">
      <w:pPr>
        <w:spacing w:line="60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2026年8月19日9时，逾期送达或未送达指定地点的报价文件不予受理。</w:t>
      </w:r>
    </w:p>
    <w:p w14:paraId="134A3572">
      <w:pPr>
        <w:spacing w:line="600" w:lineRule="exac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13、报价文件接收单位及相关联系人：</w:t>
      </w:r>
    </w:p>
    <w:p w14:paraId="626F5634">
      <w:pPr>
        <w:spacing w:line="60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文件提交地址：张家港市锦丰镇三兴街道2202号，张家港联合铜业有限公司党群综合部；邮编：215624 </w:t>
      </w:r>
    </w:p>
    <w:p w14:paraId="433C5BB0">
      <w:pPr>
        <w:spacing w:line="60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接收时间：投标截止日期前每天上午8：00至11：30，13：30至16：30，节假日除外。</w:t>
      </w:r>
    </w:p>
    <w:p w14:paraId="065E07BF">
      <w:pPr>
        <w:spacing w:line="60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投标联系人：侯燕州（0512-58533069）</w:t>
      </w:r>
    </w:p>
    <w:p w14:paraId="7CDFD1B1">
      <w:pPr>
        <w:spacing w:line="600" w:lineRule="exact"/>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业务咨询联系人：铜工场 张万兴（18921998175）</w:t>
      </w:r>
    </w:p>
    <w:p w14:paraId="2270EDF6">
      <w:pPr>
        <w:spacing w:line="600" w:lineRule="exact"/>
        <w:ind w:firstLine="560" w:firstLineChars="200"/>
        <w:rPr>
          <w:rFonts w:hint="default" w:ascii="宋体" w:hAnsi="宋体" w:eastAsia="宋体" w:cs="宋体"/>
          <w:color w:val="FF0000"/>
          <w:sz w:val="28"/>
          <w:szCs w:val="28"/>
          <w:highlight w:val="yellow"/>
          <w:lang w:val="en-US" w:eastAsia="zh-CN"/>
        </w:rPr>
      </w:pPr>
      <w:r>
        <w:rPr>
          <w:rFonts w:hint="eastAsia" w:ascii="宋体" w:hAnsi="宋体" w:eastAsia="宋体" w:cs="宋体"/>
          <w:color w:val="FF0000"/>
          <w:sz w:val="28"/>
          <w:szCs w:val="28"/>
          <w:highlight w:val="yellow"/>
        </w:rPr>
        <w:t>注：所有的投标材料只接收快递邮寄的形式，且快递包装外注明竞价项目名称及编号。不接收私人上门送达投标材料，否则将被视为无效报价。</w:t>
      </w:r>
    </w:p>
    <w:p w14:paraId="603E38D1">
      <w:pPr>
        <w:pStyle w:val="2"/>
        <w:keepNext w:val="0"/>
        <w:keepLines w:val="0"/>
        <w:pageBreakBefore w:val="0"/>
        <w:widowControl w:val="0"/>
        <w:kinsoku/>
        <w:overflowPunct/>
        <w:topLinePunct w:val="0"/>
        <w:autoSpaceDE/>
        <w:autoSpaceDN/>
        <w:bidi w:val="0"/>
        <w:adjustRightInd/>
        <w:snapToGrid/>
        <w:spacing w:line="240" w:lineRule="auto"/>
        <w:textAlignment w:val="auto"/>
        <w:rPr>
          <w:rFonts w:hint="eastAsia"/>
          <w:lang w:val="en-US" w:eastAsia="zh-CN"/>
        </w:rPr>
      </w:pPr>
    </w:p>
    <w:p w14:paraId="357584AE">
      <w:pPr>
        <w:jc w:val="cente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153725"/>
    <w:rsid w:val="00015227"/>
    <w:rsid w:val="00047558"/>
    <w:rsid w:val="000A7815"/>
    <w:rsid w:val="000C27E6"/>
    <w:rsid w:val="000C59BD"/>
    <w:rsid w:val="00126127"/>
    <w:rsid w:val="00167E41"/>
    <w:rsid w:val="00191CFD"/>
    <w:rsid w:val="001F05B0"/>
    <w:rsid w:val="00266441"/>
    <w:rsid w:val="002815FD"/>
    <w:rsid w:val="002E7D18"/>
    <w:rsid w:val="003376D7"/>
    <w:rsid w:val="003661AA"/>
    <w:rsid w:val="0039074D"/>
    <w:rsid w:val="00394B51"/>
    <w:rsid w:val="003B0195"/>
    <w:rsid w:val="003B1192"/>
    <w:rsid w:val="003D0852"/>
    <w:rsid w:val="004005E3"/>
    <w:rsid w:val="00412A83"/>
    <w:rsid w:val="0044427F"/>
    <w:rsid w:val="00535F43"/>
    <w:rsid w:val="005433BD"/>
    <w:rsid w:val="00560A92"/>
    <w:rsid w:val="00582914"/>
    <w:rsid w:val="00604649"/>
    <w:rsid w:val="00642744"/>
    <w:rsid w:val="00715936"/>
    <w:rsid w:val="007652C1"/>
    <w:rsid w:val="00804BCE"/>
    <w:rsid w:val="00821AE7"/>
    <w:rsid w:val="00830436"/>
    <w:rsid w:val="00850AC4"/>
    <w:rsid w:val="008B3FFE"/>
    <w:rsid w:val="00903627"/>
    <w:rsid w:val="00904E0B"/>
    <w:rsid w:val="00905753"/>
    <w:rsid w:val="009715EB"/>
    <w:rsid w:val="00972755"/>
    <w:rsid w:val="009759DD"/>
    <w:rsid w:val="009B45D0"/>
    <w:rsid w:val="009C4F92"/>
    <w:rsid w:val="009D513B"/>
    <w:rsid w:val="00A3094F"/>
    <w:rsid w:val="00A3764F"/>
    <w:rsid w:val="00A67508"/>
    <w:rsid w:val="00A75ED8"/>
    <w:rsid w:val="00AB181D"/>
    <w:rsid w:val="00AF41A2"/>
    <w:rsid w:val="00B435A6"/>
    <w:rsid w:val="00B56009"/>
    <w:rsid w:val="00B8369D"/>
    <w:rsid w:val="00BB140B"/>
    <w:rsid w:val="00BB57F0"/>
    <w:rsid w:val="00BD4775"/>
    <w:rsid w:val="00BD48FE"/>
    <w:rsid w:val="00C06818"/>
    <w:rsid w:val="00D02E34"/>
    <w:rsid w:val="00D117B3"/>
    <w:rsid w:val="00D97015"/>
    <w:rsid w:val="00DB42DD"/>
    <w:rsid w:val="00E1600E"/>
    <w:rsid w:val="00E30111"/>
    <w:rsid w:val="00E36A15"/>
    <w:rsid w:val="00E51C59"/>
    <w:rsid w:val="00EB4568"/>
    <w:rsid w:val="00ED47E7"/>
    <w:rsid w:val="00EE1CF7"/>
    <w:rsid w:val="00F06432"/>
    <w:rsid w:val="00F631DC"/>
    <w:rsid w:val="00F64542"/>
    <w:rsid w:val="00FA2B7F"/>
    <w:rsid w:val="00FB01C2"/>
    <w:rsid w:val="00FD24CA"/>
    <w:rsid w:val="00FD35D3"/>
    <w:rsid w:val="00FE5861"/>
    <w:rsid w:val="07990AC4"/>
    <w:rsid w:val="1C751E21"/>
    <w:rsid w:val="346C0792"/>
    <w:rsid w:val="4FE22562"/>
    <w:rsid w:val="530A4CDE"/>
    <w:rsid w:val="5EF60BF0"/>
    <w:rsid w:val="62D87551"/>
    <w:rsid w:val="64320F52"/>
    <w:rsid w:val="6D153725"/>
    <w:rsid w:val="78D37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wordWrap w:val="0"/>
      <w:spacing w:after="160"/>
      <w:jc w:val="both"/>
      <w:outlineLvl w:val="1"/>
    </w:pPr>
    <w:rPr>
      <w:sz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unhideWhenUsed/>
    <w:qFormat/>
    <w:uiPriority w:val="99"/>
    <w:pPr>
      <w:spacing w:after="120"/>
    </w:p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tabs>
        <w:tab w:val="center" w:pos="4153"/>
        <w:tab w:val="right" w:pos="8306"/>
      </w:tabs>
      <w:snapToGrid w:val="0"/>
      <w:jc w:val="center"/>
    </w:pPr>
    <w:rPr>
      <w:sz w:val="18"/>
      <w:szCs w:val="18"/>
    </w:rPr>
  </w:style>
  <w:style w:type="paragraph" w:styleId="9">
    <w:name w:val="List Paragraph"/>
    <w:basedOn w:val="1"/>
    <w:qFormat/>
    <w:uiPriority w:val="34"/>
    <w:pPr>
      <w:ind w:firstLine="420" w:firstLineChars="200"/>
    </w:pPr>
    <w:rPr>
      <w:rFonts w:ascii="Calibri" w:hAnsi="Calibri"/>
      <w:szCs w:val="22"/>
    </w:rPr>
  </w:style>
  <w:style w:type="character" w:customStyle="1" w:styleId="10">
    <w:name w:val="页眉 字符"/>
    <w:basedOn w:val="8"/>
    <w:link w:val="6"/>
    <w:qFormat/>
    <w:uiPriority w:val="0"/>
    <w:rPr>
      <w:rFonts w:asciiTheme="minorHAnsi" w:hAnsiTheme="minorHAnsi" w:eastAsiaTheme="minorEastAsia" w:cstheme="minorBidi"/>
      <w:kern w:val="2"/>
      <w:sz w:val="18"/>
      <w:szCs w:val="18"/>
    </w:rPr>
  </w:style>
  <w:style w:type="character" w:customStyle="1" w:styleId="11">
    <w:name w:val="页脚 字符"/>
    <w:basedOn w:val="8"/>
    <w:link w:val="5"/>
    <w:qFormat/>
    <w:uiPriority w:val="0"/>
    <w:rPr>
      <w:rFonts w:asciiTheme="minorHAnsi" w:hAnsiTheme="minorHAnsi" w:eastAsiaTheme="minorEastAsia" w:cstheme="minorBidi"/>
      <w:kern w:val="2"/>
      <w:sz w:val="18"/>
      <w:szCs w:val="18"/>
    </w:rPr>
  </w:style>
  <w:style w:type="paragraph" w:customStyle="1" w:styleId="12">
    <w:name w:val=" Char Char Char Char1"/>
    <w:basedOn w:val="1"/>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1472</Words>
  <Characters>1748</Characters>
  <Lines>10</Lines>
  <Paragraphs>3</Paragraphs>
  <TotalTime>10</TotalTime>
  <ScaleCrop>false</ScaleCrop>
  <LinksUpToDate>false</LinksUpToDate>
  <CharactersWithSpaces>1782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2026-06-05T08:00:00Z</dcterms:created>
  <dc:creator>那一瞬1398677443</dc:creator>
  <cp:lastModifiedBy>houyz</cp:lastModifiedBy>
  <cp:lastPrinted>2026-08-12T03:08:50Z</cp:lastPrinted>
  <dcterms:modified xsi:type="dcterms:W3CDTF">2026-08-12T03:08:55Z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1B147324823A47F0B19A4F4435864408_11</vt:lpwstr>
  </property>
  <property fmtid="{D5CDD505-2E9C-101B-9397-08002B2CF9AE}" pid="4" name="KSOTemplateDocerSaveRecord">
    <vt:lpwstr>eyJoZGlkIjoiOGI4ZGNkZTBiNjMzYTY2OTdmZjcwNzZmMjBjZWIwNGUiLCJ1c2VySWQiOiIyODYxNDcyMjAifQ==</vt:lpwstr>
  </property>
</Properties>
</file>